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hint="eastAsia" w:ascii="宋体" w:hAnsi="宋体" w:eastAsia="宋体"/>
          <w:b/>
          <w:bCs/>
          <w:sz w:val="52"/>
          <w:szCs w:val="52"/>
          <w:lang w:eastAsia="zh-CN"/>
        </w:rPr>
      </w:pPr>
      <w:r>
        <w:rPr>
          <w:rFonts w:ascii="宋体" w:hAnsi="宋体"/>
          <w:b/>
          <w:bCs/>
          <w:sz w:val="52"/>
          <w:szCs w:val="52"/>
        </w:rPr>
        <w:t>202</w:t>
      </w:r>
      <w:r>
        <w:rPr>
          <w:rFonts w:hint="eastAsia" w:ascii="宋体" w:hAnsi="宋体"/>
          <w:b/>
          <w:bCs/>
          <w:sz w:val="52"/>
          <w:szCs w:val="52"/>
          <w:lang w:val="en-US" w:eastAsia="zh-CN"/>
        </w:rPr>
        <w:t>4</w:t>
      </w:r>
      <w:r>
        <w:rPr>
          <w:rFonts w:hint="eastAsia" w:ascii="宋体" w:hAnsi="宋体"/>
          <w:b/>
          <w:bCs/>
          <w:sz w:val="52"/>
          <w:szCs w:val="52"/>
        </w:rPr>
        <w:t>年度内蒙古自治区巴彦淖尔市退役军人服务中心</w:t>
      </w:r>
      <w:r>
        <w:rPr>
          <w:rFonts w:hint="eastAsia" w:ascii="宋体" w:hAnsi="宋体"/>
          <w:b/>
          <w:bCs/>
          <w:sz w:val="52"/>
          <w:szCs w:val="52"/>
          <w:lang w:eastAsia="zh-CN"/>
        </w:rPr>
        <w:t>决算公开</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ascii="宋体" w:hAnsi="宋体"/>
          <w:sz w:val="32"/>
          <w:szCs w:val="32"/>
        </w:rPr>
      </w:pPr>
      <w:r>
        <w:rPr>
          <w:rFonts w:hint="eastAsia" w:ascii="宋体" w:hAnsi="宋体"/>
          <w:sz w:val="32"/>
          <w:szCs w:val="32"/>
        </w:rPr>
        <w:t>部门（单位）名称：内蒙古自治区巴彦淖尔市退役军人服务中心</w:t>
      </w:r>
    </w:p>
    <w:p>
      <w:pPr>
        <w:spacing w:line="360" w:lineRule="auto"/>
        <w:ind w:firstLine="2240" w:firstLineChars="700"/>
        <w:jc w:val="left"/>
        <w:rPr>
          <w:rFonts w:hint="eastAsia" w:ascii="宋体" w:hAnsi="宋体" w:eastAsia="宋体"/>
          <w:sz w:val="32"/>
          <w:szCs w:val="32"/>
          <w:lang w:val="en-US" w:eastAsia="zh-CN"/>
        </w:rPr>
      </w:pPr>
      <w:r>
        <w:rPr>
          <w:rFonts w:hint="eastAsia" w:ascii="宋体" w:hAnsi="宋体"/>
          <w:sz w:val="32"/>
          <w:szCs w:val="32"/>
        </w:rPr>
        <w:t>单位负责人：</w:t>
      </w:r>
      <w:r>
        <w:rPr>
          <w:rFonts w:hint="eastAsia" w:ascii="宋体" w:hAnsi="宋体"/>
          <w:sz w:val="32"/>
          <w:szCs w:val="32"/>
          <w:lang w:eastAsia="zh-CN"/>
        </w:rPr>
        <w:t>吴巧凤</w:t>
      </w:r>
    </w:p>
    <w:p>
      <w:pPr>
        <w:spacing w:line="360" w:lineRule="auto"/>
        <w:ind w:firstLine="2240" w:firstLineChars="700"/>
        <w:jc w:val="left"/>
        <w:rPr>
          <w:rFonts w:ascii="宋体" w:hAnsi="宋体"/>
          <w:sz w:val="32"/>
          <w:szCs w:val="32"/>
        </w:rPr>
      </w:pPr>
      <w:r>
        <w:rPr>
          <w:rFonts w:hint="eastAsia" w:ascii="宋体" w:hAnsi="宋体"/>
          <w:sz w:val="32"/>
          <w:szCs w:val="32"/>
        </w:rPr>
        <w:t>财务负责人：刘淑萍</w:t>
      </w:r>
    </w:p>
    <w:p>
      <w:pPr>
        <w:spacing w:line="360" w:lineRule="auto"/>
        <w:ind w:firstLine="2240" w:firstLineChars="700"/>
        <w:jc w:val="left"/>
        <w:rPr>
          <w:rFonts w:hint="eastAsia" w:ascii="宋体" w:hAnsi="宋体" w:eastAsia="宋体"/>
          <w:sz w:val="32"/>
          <w:szCs w:val="32"/>
          <w:lang w:val="en-US" w:eastAsia="zh-CN"/>
        </w:rPr>
      </w:pPr>
      <w:r>
        <w:rPr>
          <w:rFonts w:hint="eastAsia" w:ascii="宋体" w:hAnsi="宋体"/>
          <w:sz w:val="32"/>
          <w:szCs w:val="32"/>
        </w:rPr>
        <w:t>编制人：</w:t>
      </w:r>
      <w:r>
        <w:rPr>
          <w:rFonts w:hint="eastAsia" w:ascii="宋体" w:hAnsi="宋体"/>
          <w:sz w:val="32"/>
          <w:szCs w:val="32"/>
          <w:lang w:eastAsia="zh-CN"/>
        </w:rPr>
        <w:t>贾云峰</w:t>
      </w:r>
    </w:p>
    <w:p>
      <w:pPr>
        <w:spacing w:line="360" w:lineRule="auto"/>
        <w:ind w:firstLine="2240" w:firstLineChars="700"/>
        <w:jc w:val="left"/>
        <w:rPr>
          <w:rFonts w:hint="eastAsia" w:ascii="仿宋" w:hAnsi="仿宋" w:eastAsia="宋体"/>
          <w:b/>
          <w:sz w:val="32"/>
          <w:szCs w:val="32"/>
          <w:lang w:val="en-US" w:eastAsia="zh-CN"/>
        </w:rPr>
        <w:sectPr>
          <w:footerReference r:id="rId3" w:type="default"/>
          <w:pgSz w:w="11906" w:h="16838"/>
          <w:pgMar w:top="1440" w:right="1083" w:bottom="1440" w:left="1083" w:header="0" w:footer="720" w:gutter="0"/>
          <w:cols w:space="720" w:num="1"/>
          <w:docGrid w:type="lines" w:linePitch="312" w:charSpace="0"/>
        </w:sectPr>
      </w:pPr>
      <w:r>
        <w:rPr>
          <w:rFonts w:hint="eastAsia" w:ascii="宋体" w:hAnsi="宋体"/>
          <w:sz w:val="32"/>
          <w:szCs w:val="32"/>
        </w:rPr>
        <w:t>报送日期：</w:t>
      </w:r>
      <w:r>
        <w:rPr>
          <w:rFonts w:ascii="宋体" w:hAnsi="宋体"/>
          <w:sz w:val="32"/>
          <w:szCs w:val="32"/>
        </w:rPr>
        <w:t>202</w:t>
      </w:r>
      <w:r>
        <w:rPr>
          <w:rFonts w:hint="eastAsia" w:ascii="宋体" w:hAnsi="宋体"/>
          <w:sz w:val="32"/>
          <w:szCs w:val="32"/>
          <w:lang w:val="en-US" w:eastAsia="zh-CN"/>
        </w:rPr>
        <w:t>5</w:t>
      </w:r>
      <w:r>
        <w:rPr>
          <w:rFonts w:hint="eastAsia" w:ascii="宋体" w:hAnsi="宋体"/>
          <w:sz w:val="32"/>
          <w:szCs w:val="32"/>
        </w:rPr>
        <w:t>年</w:t>
      </w:r>
      <w:r>
        <w:rPr>
          <w:rFonts w:hint="eastAsia" w:ascii="宋体" w:hAnsi="宋体"/>
          <w:sz w:val="32"/>
          <w:szCs w:val="32"/>
          <w:lang w:val="en-US" w:eastAsia="zh-CN"/>
        </w:rPr>
        <w:t>9月18日</w:t>
      </w:r>
    </w:p>
    <w:p>
      <w:pPr>
        <w:adjustRightInd w:val="0"/>
        <w:snapToGrid w:val="0"/>
        <w:rPr>
          <w:rFonts w:ascii="宋体" w:hAnsi="宋体"/>
          <w:b/>
          <w:sz w:val="32"/>
          <w:szCs w:val="32"/>
        </w:rPr>
      </w:pPr>
    </w:p>
    <w:p>
      <w:pPr>
        <w:widowControl/>
        <w:spacing w:after="240"/>
        <w:jc w:val="center"/>
        <w:rPr>
          <w:rFonts w:ascii="Times New Roman" w:hAnsi="Times New Roman" w:eastAsia="Times New Roman" w:cs="Times New Roman"/>
          <w:kern w:val="0"/>
          <w:sz w:val="24"/>
        </w:rPr>
      </w:pPr>
      <w:bookmarkStart w:id="0" w:name="a000"/>
      <w:r>
        <w:rPr>
          <w:rFonts w:ascii="fang_song_gb2312" w:hAnsi="fang_song_gb2312" w:eastAsia="fang_song_gb2312" w:cs="fang_song_gb2312"/>
          <w:b/>
          <w:bCs/>
          <w:kern w:val="0"/>
          <w:sz w:val="54"/>
          <w:szCs w:val="54"/>
        </w:rPr>
        <w:t>目 录</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第一部分 部门（单位）概况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一、主要职能、职责</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二、部门（单位）机构设置及决算单位构成情况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年度部门（单位）主要工作完成情况</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第二部分 部门（单位）决算情况说明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八、财政拨款“三公”经费支出决算情况说明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九、政府性基金预算财政拨款支出决算情况说明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十、国有资本经营预算财政拨款支出决算情况说明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十二、政府采购支出决算情况说明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十三、国有资产占用情况说明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十四、预算绩效情况说明</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第三部分 名词解释</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第四部分 决算公开联系方式及信息反馈渠道</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第五部分 部门（单位）决算表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六、一般公共预算财政拨款基本支出决算明细表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w:t>
      </w:r>
      <w:r>
        <w:rPr>
          <w:rFonts w:ascii="fang_song_gb2312" w:hAnsi="fang_song_gb2312" w:eastAsia="fang_song_gb2312" w:cs="fang_song_gb2312"/>
          <w:color w:val="000000"/>
          <w:kern w:val="0"/>
          <w:sz w:val="27"/>
          <w:szCs w:val="27"/>
        </w:rPr>
        <w:t>公共预算财政拨款项目支出决</w:t>
      </w:r>
      <w:r>
        <w:rPr>
          <w:rFonts w:ascii="fang_song_gb2312" w:hAnsi="fang_song_gb2312" w:eastAsia="fang_song_gb2312" w:cs="fang_song_gb2312"/>
          <w:kern w:val="0"/>
          <w:sz w:val="27"/>
          <w:szCs w:val="27"/>
        </w:rPr>
        <w:t>算明细表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八、政府性基金预算财政拨款收入支出决算表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九、国有资本经营预算财</w:t>
      </w:r>
      <w:r>
        <w:rPr>
          <w:rFonts w:ascii="fang_song_gb2312" w:hAnsi="fang_song_gb2312" w:eastAsia="fang_song_gb2312" w:cs="fang_song_gb2312"/>
          <w:color w:val="000000"/>
          <w:kern w:val="0"/>
          <w:sz w:val="27"/>
          <w:szCs w:val="27"/>
        </w:rPr>
        <w:t>政拨款</w:t>
      </w:r>
      <w:r>
        <w:rPr>
          <w:rFonts w:hint="eastAsia" w:ascii="fang_song_gb2312" w:hAnsi="fang_song_gb2312" w:cs="fang_song_gb2312"/>
          <w:color w:val="000000"/>
          <w:kern w:val="0"/>
          <w:sz w:val="27"/>
          <w:szCs w:val="27"/>
          <w:lang w:eastAsia="zh-CN"/>
        </w:rPr>
        <w:t>收入</w:t>
      </w:r>
      <w:r>
        <w:rPr>
          <w:rFonts w:ascii="fang_song_gb2312" w:hAnsi="fang_song_gb2312" w:eastAsia="fang_song_gb2312" w:cs="fang_song_gb2312"/>
          <w:color w:val="000000"/>
          <w:kern w:val="0"/>
          <w:sz w:val="27"/>
          <w:szCs w:val="27"/>
        </w:rPr>
        <w:t>支出决</w:t>
      </w:r>
      <w:r>
        <w:rPr>
          <w:rFonts w:ascii="fang_song_gb2312" w:hAnsi="fang_song_gb2312" w:eastAsia="fang_song_gb2312" w:cs="fang_song_gb2312"/>
          <w:kern w:val="0"/>
          <w:sz w:val="27"/>
          <w:szCs w:val="27"/>
        </w:rPr>
        <w:t>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十、财政拨款</w:t>
      </w:r>
      <w:r>
        <w:rPr>
          <w:rFonts w:ascii="fang_song_gb2312" w:hAnsi="fang_song_gb2312" w:eastAsia="fang_song_gb2312" w:cs="fang_song_gb2312"/>
          <w:color w:val="000000"/>
          <w:kern w:val="0"/>
          <w:sz w:val="27"/>
          <w:szCs w:val="27"/>
        </w:rPr>
        <w:t>“三公”经费支出决算</w:t>
      </w:r>
      <w:r>
        <w:rPr>
          <w:rFonts w:ascii="fang_song_gb2312" w:hAnsi="fang_song_gb2312" w:eastAsia="fang_song_gb2312" w:cs="fang_song_gb2312"/>
          <w:kern w:val="0"/>
          <w:sz w:val="27"/>
          <w:szCs w:val="27"/>
        </w:rPr>
        <w:t>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w:t>
      </w:r>
      <w:r>
        <w:rPr>
          <w:rFonts w:ascii="fang_song_gb2312" w:hAnsi="fang_song_gb2312" w:eastAsia="fang_song_gb2312" w:cs="fang_song_gb2312"/>
          <w:color w:val="000000"/>
          <w:kern w:val="0"/>
          <w:sz w:val="27"/>
          <w:szCs w:val="27"/>
        </w:rPr>
        <w:t>机构运行经费支出、</w:t>
      </w:r>
      <w:r>
        <w:rPr>
          <w:rFonts w:ascii="fang_song_gb2312" w:hAnsi="fang_song_gb2312" w:eastAsia="fang_song_gb2312" w:cs="fang_song_gb2312"/>
          <w:kern w:val="0"/>
          <w:sz w:val="27"/>
          <w:szCs w:val="27"/>
        </w:rPr>
        <w:t>国有资产占用情况及政府采购支出信息表</w:t>
      </w:r>
    </w:p>
    <w:p>
      <w:pPr>
        <w:widowControl/>
        <w:spacing w:before="240" w:after="240"/>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color w:val="000000"/>
          <w:kern w:val="0"/>
          <w:sz w:val="36"/>
          <w:szCs w:val="36"/>
        </w:rPr>
        <w:t>第一部分 部门（单位）概况</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一、主要职能、职责</w:t>
      </w:r>
    </w:p>
    <w:p>
      <w:pPr>
        <w:spacing w:line="580" w:lineRule="exact"/>
        <w:ind w:firstLine="600"/>
        <w:rPr>
          <w:rFonts w:hint="eastAsia" w:ascii="黑体" w:hAnsi="黑体" w:eastAsia="黑体"/>
          <w:b/>
          <w:color w:val="auto"/>
          <w:kern w:val="2"/>
          <w:sz w:val="32"/>
        </w:rPr>
      </w:pPr>
      <w:r>
        <w:rPr>
          <w:rFonts w:ascii="fang_song_gb2312" w:hAnsi="fang_song_gb2312" w:eastAsia="fang_song_gb2312" w:cs="fang_song_gb2312"/>
          <w:color w:val="0E00FE"/>
          <w:kern w:val="0"/>
          <w:sz w:val="27"/>
          <w:szCs w:val="27"/>
        </w:rPr>
        <w:t xml:space="preserve">    </w:t>
      </w:r>
      <w:r>
        <w:rPr>
          <w:rFonts w:hint="eastAsia" w:ascii="仿宋_GB2312" w:hAnsi="Times New Roman" w:eastAsia="仿宋_GB2312"/>
          <w:color w:val="auto"/>
          <w:sz w:val="32"/>
        </w:rPr>
        <w:t>协助做好退役军人行政关系、组织关系、供给关系转接和档案移交，推动退役军人流动党员纳入党的基层组织，配合组织部门做好教育管理；协助做好退役军人来信来访、接待办理、心理疏导、权益咨询、政策解答、法律服务以及涉退役军人舆情的收集、引导工作；协助做好军属、烈属、伤残军人、带病返乡退役军人服务等事务性工作；协助开展退役军人和其他优抚对象信息数据采集、资料管理、汇总分析等工作；负责提供就业创业服务和政策咨询，协助开展职业教育和技能培训，承办自主就业退役军人招聘会、推介会、就业论坛等，搭建就业创业、困难退役军人军属帮扶援助平台；承担全市退役军人信息系统建设相关工作。</w:t>
      </w:r>
    </w:p>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二、部门（单位）机构设置及决算单位构成情况</w:t>
      </w:r>
    </w:p>
    <w:p>
      <w:pPr>
        <w:tabs>
          <w:tab w:val="left" w:pos="1151"/>
        </w:tabs>
        <w:spacing w:line="360" w:lineRule="auto"/>
        <w:ind w:firstLine="640"/>
        <w:jc w:val="both"/>
        <w:rPr>
          <w:rFonts w:hint="default" w:ascii="Times New Roman" w:hAnsi="Times New Roman" w:eastAsia="Times New Roman"/>
          <w:color w:val="auto"/>
          <w:kern w:val="2"/>
          <w:sz w:val="32"/>
        </w:rPr>
      </w:pPr>
      <w:r>
        <w:rPr>
          <w:rFonts w:ascii="times_new_roman" w:hAnsi="times_new_roman" w:eastAsia="times_new_roman" w:cs="times_new_roman"/>
          <w:kern w:val="0"/>
          <w:sz w:val="27"/>
          <w:szCs w:val="27"/>
        </w:rPr>
        <w:t xml:space="preserve">    </w:t>
      </w:r>
      <w:r>
        <w:rPr>
          <w:rFonts w:hint="default" w:ascii="Times New Roman" w:hAnsi="Times New Roman" w:eastAsia="Times New Roman"/>
          <w:color w:val="auto"/>
          <w:kern w:val="2"/>
          <w:sz w:val="32"/>
        </w:rPr>
        <w:t>1.</w:t>
      </w:r>
      <w:r>
        <w:rPr>
          <w:rFonts w:hint="eastAsia" w:ascii="仿宋_GB2312" w:hAnsi="仿宋_GB2312" w:eastAsia="仿宋_GB2312"/>
          <w:color w:val="auto"/>
          <w:kern w:val="2"/>
          <w:sz w:val="32"/>
        </w:rPr>
        <w:t>根据职责分工，本</w:t>
      </w:r>
      <w:r>
        <w:rPr>
          <w:rFonts w:hint="eastAsia" w:ascii="仿宋_GB2312" w:hAnsi="仿宋_GB2312" w:eastAsia="仿宋_GB2312"/>
          <w:color w:val="auto"/>
          <w:kern w:val="2"/>
          <w:sz w:val="32"/>
          <w:lang w:val="en-US" w:eastAsia="zh-CN"/>
        </w:rPr>
        <w:t>单位无</w:t>
      </w:r>
      <w:r>
        <w:rPr>
          <w:rFonts w:hint="eastAsia" w:ascii="仿宋_GB2312" w:hAnsi="仿宋_GB2312" w:eastAsia="仿宋_GB2312"/>
          <w:color w:val="auto"/>
          <w:kern w:val="2"/>
          <w:sz w:val="32"/>
        </w:rPr>
        <w:t>内设机构</w:t>
      </w:r>
      <w:r>
        <w:rPr>
          <w:rFonts w:hint="eastAsia" w:ascii="仿宋_GB2312" w:hAnsi="仿宋_GB2312" w:eastAsia="仿宋_GB2312"/>
          <w:color w:val="auto"/>
          <w:kern w:val="2"/>
          <w:sz w:val="32"/>
          <w:lang w:eastAsia="zh-CN"/>
        </w:rPr>
        <w:t>，</w:t>
      </w:r>
      <w:r>
        <w:rPr>
          <w:rFonts w:hint="eastAsia" w:ascii="仿宋_GB2312" w:hAnsi="仿宋_GB2312" w:eastAsia="仿宋_GB2312"/>
          <w:color w:val="auto"/>
          <w:kern w:val="2"/>
          <w:sz w:val="32"/>
        </w:rPr>
        <w:t>本</w:t>
      </w:r>
      <w:r>
        <w:rPr>
          <w:rFonts w:hint="eastAsia" w:ascii="仿宋_GB2312" w:hAnsi="仿宋_GB2312" w:eastAsia="仿宋_GB2312"/>
          <w:color w:val="auto"/>
          <w:kern w:val="2"/>
          <w:sz w:val="32"/>
          <w:lang w:val="en-US" w:eastAsia="zh-CN"/>
        </w:rPr>
        <w:t>单位无</w:t>
      </w:r>
      <w:r>
        <w:rPr>
          <w:rFonts w:hint="eastAsia" w:ascii="仿宋_GB2312" w:hAnsi="仿宋_GB2312" w:eastAsia="仿宋_GB2312"/>
          <w:color w:val="auto"/>
          <w:kern w:val="2"/>
          <w:sz w:val="32"/>
        </w:rPr>
        <w:t>下属单位。</w:t>
      </w:r>
      <w:r>
        <w:rPr>
          <w:rFonts w:hint="eastAsia" w:ascii="仿宋_GB2312" w:hAnsi="Times New Roman" w:eastAsia="仿宋_GB2312"/>
          <w:color w:val="auto"/>
          <w:sz w:val="32"/>
        </w:rPr>
        <w:t>巴彦淖尔市退役军人服务中心，为巴彦淖尔市退役军人事务局所属相当于正科级公益一类事业单位。核定事业编制</w:t>
      </w:r>
      <w:r>
        <w:rPr>
          <w:rFonts w:hint="eastAsia" w:ascii="仿宋_GB2312" w:hAnsi="Times New Roman" w:eastAsia="仿宋_GB2312"/>
          <w:color w:val="auto"/>
          <w:sz w:val="32"/>
          <w:lang w:val="en-US" w:eastAsia="zh-CN"/>
        </w:rPr>
        <w:t>18</w:t>
      </w:r>
      <w:r>
        <w:rPr>
          <w:rFonts w:hint="eastAsia" w:ascii="仿宋_GB2312" w:hAnsi="Times New Roman" w:eastAsia="仿宋_GB2312"/>
          <w:color w:val="auto"/>
          <w:sz w:val="32"/>
        </w:rPr>
        <w:t>名（其中管理人员编制</w:t>
      </w:r>
      <w:r>
        <w:rPr>
          <w:rFonts w:hint="eastAsia" w:ascii="仿宋_GB2312" w:hAnsi="Times New Roman" w:eastAsia="仿宋_GB2312"/>
          <w:color w:val="auto"/>
          <w:sz w:val="32"/>
          <w:lang w:val="en-US" w:eastAsia="zh-CN"/>
        </w:rPr>
        <w:t>5</w:t>
      </w:r>
      <w:r>
        <w:rPr>
          <w:rFonts w:hint="eastAsia" w:ascii="仿宋_GB2312" w:hAnsi="Times New Roman" w:eastAsia="仿宋_GB2312"/>
          <w:color w:val="auto"/>
          <w:sz w:val="32"/>
        </w:rPr>
        <w:t>名，专业技术人员编制</w:t>
      </w:r>
      <w:r>
        <w:rPr>
          <w:rFonts w:hint="eastAsia" w:ascii="仿宋_GB2312" w:hAnsi="Times New Roman" w:eastAsia="仿宋_GB2312"/>
          <w:color w:val="auto"/>
          <w:sz w:val="32"/>
          <w:lang w:val="en-US" w:eastAsia="zh-CN"/>
        </w:rPr>
        <w:t>12</w:t>
      </w:r>
      <w:r>
        <w:rPr>
          <w:rFonts w:hint="eastAsia" w:ascii="仿宋_GB2312" w:hAnsi="Times New Roman" w:eastAsia="仿宋_GB2312"/>
          <w:color w:val="auto"/>
          <w:sz w:val="32"/>
        </w:rPr>
        <w:t>名，工勤人员编制1名）。核定科级领导职数</w:t>
      </w:r>
      <w:r>
        <w:rPr>
          <w:rFonts w:hint="eastAsia" w:ascii="仿宋_GB2312" w:hAnsi="Times New Roman" w:eastAsia="仿宋_GB2312"/>
          <w:color w:val="auto"/>
          <w:sz w:val="32"/>
          <w:lang w:val="en-US" w:eastAsia="zh-CN"/>
        </w:rPr>
        <w:t>3</w:t>
      </w:r>
      <w:r>
        <w:rPr>
          <w:rFonts w:hint="eastAsia" w:ascii="仿宋_GB2312" w:hAnsi="Times New Roman" w:eastAsia="仿宋_GB2312"/>
          <w:color w:val="auto"/>
          <w:sz w:val="32"/>
        </w:rPr>
        <w:t>名（1正</w:t>
      </w:r>
      <w:r>
        <w:rPr>
          <w:rFonts w:hint="eastAsia" w:ascii="仿宋_GB2312" w:hAnsi="Times New Roman" w:eastAsia="仿宋_GB2312"/>
          <w:color w:val="auto"/>
          <w:sz w:val="32"/>
          <w:lang w:val="en-US" w:eastAsia="zh-CN"/>
        </w:rPr>
        <w:t>2</w:t>
      </w:r>
      <w:r>
        <w:rPr>
          <w:rFonts w:hint="eastAsia" w:ascii="仿宋_GB2312" w:hAnsi="Times New Roman" w:eastAsia="仿宋_GB2312"/>
          <w:color w:val="auto"/>
          <w:sz w:val="32"/>
        </w:rPr>
        <w:t>副）。</w:t>
      </w:r>
    </w:p>
    <w:p>
      <w:pPr>
        <w:spacing w:line="360" w:lineRule="auto"/>
        <w:ind w:firstLine="640" w:firstLineChars="200"/>
        <w:jc w:val="both"/>
        <w:rPr>
          <w:rFonts w:hint="default" w:ascii="Times New Roman" w:hAnsi="Times New Roman" w:eastAsia="Times New Roman"/>
          <w:color w:val="auto"/>
          <w:kern w:val="2"/>
          <w:sz w:val="32"/>
        </w:rPr>
      </w:pPr>
    </w:p>
    <w:p>
      <w:pPr>
        <w:spacing w:line="360" w:lineRule="auto"/>
        <w:ind w:firstLine="640" w:firstLineChars="200"/>
        <w:jc w:val="both"/>
        <w:rPr>
          <w:rFonts w:hint="default" w:ascii="Times New Roman" w:hAnsi="Times New Roman" w:eastAsia="Times New Roman"/>
          <w:color w:val="auto"/>
          <w:kern w:val="2"/>
          <w:sz w:val="32"/>
        </w:rPr>
      </w:pPr>
      <w:r>
        <w:rPr>
          <w:rFonts w:hint="default" w:ascii="Times New Roman" w:hAnsi="Times New Roman" w:eastAsia="Times New Roman"/>
          <w:color w:val="auto"/>
          <w:kern w:val="2"/>
          <w:sz w:val="32"/>
        </w:rPr>
        <w:t>2.</w:t>
      </w:r>
      <w:r>
        <w:rPr>
          <w:rFonts w:hint="eastAsia" w:ascii="仿宋_GB2312" w:hAnsi="仿宋_GB2312" w:eastAsia="仿宋_GB2312"/>
          <w:color w:val="auto"/>
          <w:kern w:val="2"/>
          <w:sz w:val="32"/>
        </w:rPr>
        <w:t>从决算单位构成看，纳入本</w:t>
      </w:r>
      <w:r>
        <w:rPr>
          <w:rFonts w:hint="eastAsia" w:ascii="仿宋_GB2312" w:hAnsi="仿宋_GB2312" w:eastAsia="仿宋_GB2312"/>
          <w:color w:val="auto"/>
          <w:kern w:val="2"/>
          <w:sz w:val="32"/>
          <w:lang w:val="en-US" w:eastAsia="zh-CN"/>
        </w:rPr>
        <w:t>单位</w:t>
      </w:r>
      <w:r>
        <w:rPr>
          <w:rFonts w:hint="eastAsia" w:ascii="仿宋_GB2312" w:hAnsi="仿宋_GB2312" w:eastAsia="仿宋_GB2312"/>
          <w:color w:val="auto"/>
          <w:kern w:val="2"/>
          <w:sz w:val="32"/>
        </w:rPr>
        <w:t>202</w:t>
      </w:r>
      <w:r>
        <w:rPr>
          <w:rFonts w:hint="eastAsia" w:ascii="仿宋_GB2312" w:hAnsi="仿宋_GB2312" w:eastAsia="仿宋_GB2312"/>
          <w:color w:val="auto"/>
          <w:kern w:val="2"/>
          <w:sz w:val="32"/>
          <w:lang w:val="en-US" w:eastAsia="zh-CN"/>
        </w:rPr>
        <w:t>4</w:t>
      </w:r>
      <w:r>
        <w:rPr>
          <w:rFonts w:hint="eastAsia" w:ascii="仿宋_GB2312" w:hAnsi="仿宋_GB2312" w:eastAsia="仿宋_GB2312"/>
          <w:color w:val="auto"/>
          <w:kern w:val="2"/>
          <w:sz w:val="32"/>
        </w:rPr>
        <w:t>年部门汇总决算编制范围的预算单位共计</w:t>
      </w:r>
      <w:r>
        <w:rPr>
          <w:rFonts w:hint="eastAsia" w:ascii="仿宋_GB2312" w:hAnsi="仿宋_GB2312" w:eastAsia="仿宋_GB2312"/>
          <w:color w:val="auto"/>
          <w:kern w:val="2"/>
          <w:sz w:val="32"/>
          <w:lang w:val="en-US" w:eastAsia="zh-CN"/>
        </w:rPr>
        <w:t>1</w:t>
      </w:r>
      <w:r>
        <w:rPr>
          <w:rFonts w:hint="eastAsia" w:ascii="仿宋_GB2312" w:hAnsi="仿宋_GB2312" w:eastAsia="仿宋_GB2312"/>
          <w:color w:val="auto"/>
          <w:kern w:val="2"/>
          <w:sz w:val="32"/>
        </w:rPr>
        <w:t>家，具体包括：</w:t>
      </w:r>
      <w:r>
        <w:rPr>
          <w:rFonts w:hint="eastAsia" w:ascii="仿宋_GB2312" w:hAnsi="仿宋_GB2312" w:eastAsia="仿宋_GB2312"/>
          <w:color w:val="auto"/>
          <w:kern w:val="2"/>
          <w:sz w:val="32"/>
          <w:lang w:val="en-US" w:eastAsia="zh-CN"/>
        </w:rPr>
        <w:t>巴彦淖尔市退役军人服务中心</w:t>
      </w:r>
      <w:r>
        <w:rPr>
          <w:rFonts w:hint="eastAsia" w:ascii="仿宋_GB2312" w:hAnsi="仿宋_GB2312" w:eastAsia="仿宋_GB2312"/>
          <w:color w:val="auto"/>
          <w:kern w:val="2"/>
          <w:sz w:val="32"/>
        </w:rPr>
        <w:t>。详细情况见表：</w:t>
      </w:r>
    </w:p>
    <w:tbl>
      <w:tblPr>
        <w:tblStyle w:val="20"/>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2"/>
        <w:gridCol w:w="3260"/>
        <w:gridCol w:w="46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662" w:type="dxa"/>
            <w:tcBorders>
              <w:top w:val="single" w:color="auto" w:sz="6" w:space="0"/>
              <w:left w:val="single" w:color="auto" w:sz="6" w:space="0"/>
              <w:bottom w:val="single" w:color="auto" w:sz="6" w:space="0"/>
              <w:right w:val="single" w:color="auto" w:sz="6" w:space="0"/>
              <w:tl2br w:val="nil"/>
              <w:tr2bl w:val="nil"/>
            </w:tcBorders>
            <w:noWrap w:val="0"/>
            <w:vAlign w:val="top"/>
          </w:tcPr>
          <w:p>
            <w:pPr>
              <w:rPr>
                <w:rFonts w:hint="default" w:ascii="Times New Roman" w:hAnsi="Times New Roman" w:eastAsia="Times New Roman"/>
                <w:color w:val="000000"/>
                <w:sz w:val="31"/>
              </w:rPr>
            </w:pPr>
            <w:r>
              <w:rPr>
                <w:rFonts w:hint="eastAsia" w:ascii="仿宋_GB2312" w:hAnsi="仿宋_GB2312" w:eastAsia="仿宋_GB2312"/>
                <w:color w:val="000000"/>
                <w:sz w:val="31"/>
              </w:rPr>
              <w:t>序号</w:t>
            </w:r>
          </w:p>
        </w:tc>
        <w:tc>
          <w:tcPr>
            <w:tcW w:w="3260" w:type="dxa"/>
            <w:tcBorders>
              <w:top w:val="single" w:color="auto" w:sz="6" w:space="0"/>
              <w:left w:val="single" w:color="auto" w:sz="6" w:space="0"/>
              <w:bottom w:val="single" w:color="auto" w:sz="6" w:space="0"/>
              <w:right w:val="single" w:color="auto" w:sz="6" w:space="0"/>
              <w:tl2br w:val="nil"/>
              <w:tr2bl w:val="nil"/>
            </w:tcBorders>
            <w:noWrap w:val="0"/>
            <w:vAlign w:val="top"/>
          </w:tcPr>
          <w:p>
            <w:pPr>
              <w:rPr>
                <w:rFonts w:hint="default" w:ascii="Times New Roman" w:hAnsi="Times New Roman" w:eastAsia="Times New Roman"/>
                <w:color w:val="000000"/>
                <w:sz w:val="31"/>
              </w:rPr>
            </w:pPr>
            <w:r>
              <w:rPr>
                <w:rFonts w:hint="eastAsia" w:ascii="仿宋_GB2312" w:hAnsi="仿宋_GB2312" w:eastAsia="仿宋_GB2312"/>
                <w:color w:val="000000"/>
                <w:sz w:val="31"/>
              </w:rPr>
              <w:t>单位名称</w:t>
            </w:r>
          </w:p>
        </w:tc>
        <w:tc>
          <w:tcPr>
            <w:tcW w:w="4600" w:type="dxa"/>
            <w:tcBorders>
              <w:top w:val="single" w:color="auto" w:sz="6" w:space="0"/>
              <w:left w:val="single" w:color="auto" w:sz="6" w:space="0"/>
              <w:bottom w:val="single" w:color="auto" w:sz="6" w:space="0"/>
              <w:right w:val="single" w:color="auto" w:sz="6" w:space="0"/>
              <w:tl2br w:val="nil"/>
              <w:tr2bl w:val="nil"/>
            </w:tcBorders>
            <w:noWrap w:val="0"/>
            <w:vAlign w:val="top"/>
          </w:tcPr>
          <w:p>
            <w:pPr>
              <w:rPr>
                <w:rFonts w:hint="default" w:ascii="Times New Roman" w:hAnsi="Times New Roman" w:eastAsia="Times New Roman"/>
                <w:color w:val="000000"/>
                <w:sz w:val="31"/>
              </w:rPr>
            </w:pPr>
            <w:r>
              <w:rPr>
                <w:rFonts w:hint="eastAsia" w:ascii="仿宋_GB2312" w:hAnsi="仿宋_GB2312" w:eastAsia="仿宋_GB2312"/>
                <w:color w:val="000000"/>
                <w:sz w:val="31"/>
              </w:rPr>
              <w:t>单位性质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662" w:type="dxa"/>
            <w:tcBorders>
              <w:top w:val="single" w:color="auto" w:sz="6" w:space="0"/>
              <w:left w:val="single" w:color="auto" w:sz="6" w:space="0"/>
              <w:bottom w:val="single" w:color="auto" w:sz="6" w:space="0"/>
              <w:right w:val="single" w:color="auto" w:sz="6" w:space="0"/>
              <w:tl2br w:val="nil"/>
              <w:tr2bl w:val="nil"/>
            </w:tcBorders>
            <w:noWrap w:val="0"/>
            <w:vAlign w:val="top"/>
          </w:tcPr>
          <w:p>
            <w:pPr>
              <w:rPr>
                <w:rFonts w:hint="eastAsia" w:ascii="Times New Roman" w:hAnsi="Times New Roman" w:eastAsia="宋体"/>
                <w:color w:val="000000"/>
                <w:sz w:val="31"/>
                <w:lang w:eastAsia="zh-CN"/>
              </w:rPr>
            </w:pPr>
            <w:r>
              <w:rPr>
                <w:rFonts w:hint="eastAsia" w:ascii="Times New Roman" w:hAnsi="Times New Roman" w:eastAsia="宋体"/>
                <w:color w:val="000000"/>
                <w:sz w:val="31"/>
                <w:lang w:val="en-US" w:eastAsia="zh-CN"/>
              </w:rPr>
              <w:t>1</w:t>
            </w:r>
          </w:p>
        </w:tc>
        <w:tc>
          <w:tcPr>
            <w:tcW w:w="3260" w:type="dxa"/>
            <w:tcBorders>
              <w:top w:val="single" w:color="auto" w:sz="6" w:space="0"/>
              <w:left w:val="single" w:color="auto" w:sz="6" w:space="0"/>
              <w:bottom w:val="single" w:color="auto" w:sz="6" w:space="0"/>
              <w:right w:val="single" w:color="auto" w:sz="6" w:space="0"/>
              <w:tl2br w:val="nil"/>
              <w:tr2bl w:val="nil"/>
            </w:tcBorders>
            <w:noWrap w:val="0"/>
            <w:vAlign w:val="top"/>
          </w:tcPr>
          <w:p>
            <w:pPr>
              <w:rPr>
                <w:rFonts w:hint="default" w:ascii="Times New Roman" w:hAnsi="Times New Roman" w:eastAsia="Times New Roman"/>
                <w:color w:val="000000"/>
                <w:sz w:val="31"/>
              </w:rPr>
            </w:pPr>
            <w:r>
              <w:rPr>
                <w:rFonts w:hint="eastAsia" w:ascii="仿宋_GB2312" w:hAnsi="仿宋_GB2312" w:eastAsia="仿宋_GB2312"/>
                <w:color w:val="auto"/>
                <w:kern w:val="2"/>
                <w:sz w:val="32"/>
                <w:lang w:val="en-US" w:eastAsia="zh-CN"/>
              </w:rPr>
              <w:t>巴彦淖尔市退役军人服务中心</w:t>
            </w:r>
          </w:p>
        </w:tc>
        <w:tc>
          <w:tcPr>
            <w:tcW w:w="4600" w:type="dxa"/>
            <w:tcBorders>
              <w:top w:val="single" w:color="auto" w:sz="6" w:space="0"/>
              <w:left w:val="single" w:color="auto" w:sz="6" w:space="0"/>
              <w:bottom w:val="single" w:color="auto" w:sz="6" w:space="0"/>
              <w:right w:val="single" w:color="auto" w:sz="6" w:space="0"/>
              <w:tl2br w:val="nil"/>
              <w:tr2bl w:val="nil"/>
            </w:tcBorders>
            <w:noWrap w:val="0"/>
            <w:vAlign w:val="top"/>
          </w:tcPr>
          <w:p>
            <w:pPr>
              <w:rPr>
                <w:rFonts w:hint="default" w:ascii="Times New Roman" w:hAnsi="Times New Roman" w:eastAsia="Times New Roman"/>
                <w:color w:val="000000"/>
                <w:sz w:val="31"/>
              </w:rPr>
            </w:pPr>
            <w:r>
              <w:rPr>
                <w:rFonts w:hint="eastAsia" w:ascii="仿宋_GB2312" w:hAnsi="仿宋_GB2312" w:eastAsia="仿宋_GB2312"/>
                <w:color w:val="000000"/>
                <w:sz w:val="31"/>
              </w:rPr>
              <w:t>公益一类事业单位</w:t>
            </w:r>
          </w:p>
        </w:tc>
      </w:tr>
    </w:tbl>
    <w:p>
      <w:pPr>
        <w:widowControl/>
        <w:spacing w:before="240" w:after="240"/>
        <w:ind w:firstLine="393"/>
        <w:jc w:val="left"/>
        <w:rPr>
          <w:rFonts w:ascii="黑体" w:hAnsi="黑体" w:eastAsia="黑体" w:cs="黑体"/>
          <w:b/>
          <w:bCs/>
          <w:kern w:val="0"/>
          <w:sz w:val="27"/>
          <w:szCs w:val="27"/>
        </w:rPr>
      </w:pPr>
      <w:r>
        <w:rPr>
          <w:rFonts w:ascii="黑体" w:hAnsi="黑体" w:eastAsia="黑体" w:cs="黑体"/>
          <w:b/>
          <w:bCs/>
          <w:kern w:val="0"/>
          <w:sz w:val="27"/>
          <w:szCs w:val="27"/>
        </w:rPr>
        <w:t>三、202</w:t>
      </w:r>
      <w:r>
        <w:rPr>
          <w:rFonts w:hint="eastAsia" w:ascii="黑体" w:hAnsi="黑体" w:eastAsia="黑体" w:cs="黑体"/>
          <w:b/>
          <w:bCs/>
          <w:kern w:val="0"/>
          <w:sz w:val="27"/>
          <w:szCs w:val="27"/>
          <w:lang w:val="en-US" w:eastAsia="zh-CN"/>
        </w:rPr>
        <w:t>4</w:t>
      </w:r>
      <w:r>
        <w:rPr>
          <w:rFonts w:ascii="黑体" w:hAnsi="黑体" w:eastAsia="黑体" w:cs="黑体"/>
          <w:b/>
          <w:bCs/>
          <w:kern w:val="0"/>
          <w:sz w:val="27"/>
          <w:szCs w:val="27"/>
        </w:rPr>
        <w:t>年度部门（单位）主要工作完成情况</w:t>
      </w:r>
    </w:p>
    <w:p>
      <w:pPr>
        <w:autoSpaceDE/>
        <w:autoSpaceDN/>
        <w:adjustRightInd/>
        <w:spacing w:line="560" w:lineRule="exact"/>
        <w:ind w:firstLine="640" w:firstLineChars="200"/>
        <w:rPr>
          <w:rFonts w:hint="eastAsia" w:ascii="仿宋_GB2312" w:hAnsi="仿宋_GB2312" w:eastAsia="仿宋_GB2312"/>
          <w:color w:val="auto"/>
          <w:kern w:val="2"/>
          <w:sz w:val="32"/>
          <w:lang w:val="en-US" w:eastAsia="zh-CN"/>
        </w:rPr>
      </w:pPr>
      <w:r>
        <w:rPr>
          <w:rFonts w:hint="eastAsia" w:ascii="仿宋_GB2312" w:hAnsi="仿宋_GB2312" w:eastAsia="仿宋_GB2312"/>
          <w:color w:val="auto"/>
          <w:kern w:val="2"/>
          <w:sz w:val="32"/>
        </w:rPr>
        <w:t>今年以来，</w:t>
      </w:r>
      <w:r>
        <w:rPr>
          <w:rFonts w:hint="eastAsia" w:ascii="仿宋_GB2312" w:hAnsi="仿宋_GB2312" w:eastAsia="仿宋_GB2312"/>
          <w:color w:val="auto"/>
          <w:kern w:val="2"/>
          <w:sz w:val="32"/>
          <w:lang w:val="en-US" w:eastAsia="zh-CN"/>
        </w:rPr>
        <w:t>巴彦淖尔市退役军人服务中心</w:t>
      </w:r>
      <w:r>
        <w:rPr>
          <w:rFonts w:hint="eastAsia" w:ascii="仿宋_GB2312" w:hAnsi="仿宋_GB2312" w:eastAsia="仿宋_GB2312"/>
          <w:color w:val="auto"/>
          <w:kern w:val="2"/>
          <w:sz w:val="32"/>
        </w:rPr>
        <w:t>全面落实市委、市政府决策部署，深入学习习近平新时代中国特色社会主义思想，认真贯彻党的二十大精神</w:t>
      </w:r>
      <w:r>
        <w:rPr>
          <w:rFonts w:hint="eastAsia" w:ascii="仿宋_GB2312" w:hAnsi="仿宋_GB2312" w:eastAsia="仿宋_GB2312"/>
          <w:color w:val="auto"/>
          <w:kern w:val="2"/>
          <w:sz w:val="32"/>
          <w:lang w:eastAsia="zh-CN"/>
        </w:rPr>
        <w:t>，</w:t>
      </w:r>
      <w:r>
        <w:rPr>
          <w:rFonts w:hint="eastAsia" w:ascii="仿宋_GB2312" w:hAnsi="仿宋_GB2312" w:eastAsia="仿宋_GB2312"/>
          <w:color w:val="auto"/>
          <w:kern w:val="2"/>
          <w:sz w:val="32"/>
        </w:rPr>
        <w:t>持续树牢以</w:t>
      </w:r>
      <w:r>
        <w:rPr>
          <w:rFonts w:hint="eastAsia" w:ascii="仿宋_GB2312" w:hAnsi="仿宋_GB2312" w:eastAsia="仿宋_GB2312"/>
          <w:color w:val="auto"/>
          <w:kern w:val="2"/>
          <w:sz w:val="32"/>
          <w:lang w:val="en-US" w:eastAsia="zh-CN"/>
        </w:rPr>
        <w:t>退役军人</w:t>
      </w:r>
      <w:r>
        <w:rPr>
          <w:rFonts w:hint="eastAsia" w:ascii="仿宋_GB2312" w:hAnsi="仿宋_GB2312" w:eastAsia="仿宋_GB2312"/>
          <w:color w:val="auto"/>
          <w:kern w:val="2"/>
          <w:sz w:val="32"/>
        </w:rPr>
        <w:t>为中心的发展思想，坚持</w:t>
      </w:r>
      <w:r>
        <w:rPr>
          <w:rFonts w:hint="eastAsia" w:ascii="仿宋_GB2312" w:hAnsi="仿宋_GB2312" w:eastAsia="仿宋_GB2312"/>
          <w:color w:val="auto"/>
          <w:kern w:val="2"/>
          <w:sz w:val="32"/>
          <w:lang w:val="en-US" w:eastAsia="zh-CN"/>
        </w:rPr>
        <w:t>以提高军人社会尊崇为目标，进一步深化改革、锐意创新、主动作为，为全市退役军人工作高质量发展提供坚强保障。2024年，按照自治区、市局统一部署和年度工作计划安排，全市各级退役军人服务中心（站）工作进入新发展阶段。</w:t>
      </w:r>
    </w:p>
    <w:p>
      <w:pPr>
        <w:autoSpaceDE/>
        <w:autoSpaceDN/>
        <w:adjustRightInd/>
        <w:spacing w:line="560" w:lineRule="exact"/>
        <w:ind w:firstLine="640" w:firstLineChars="200"/>
        <w:rPr>
          <w:rFonts w:hint="eastAsia" w:ascii="仿宋_GB2312" w:hAnsi="仿宋_GB2312" w:eastAsia="仿宋_GB2312"/>
          <w:color w:val="auto"/>
          <w:kern w:val="2"/>
          <w:sz w:val="32"/>
          <w:lang w:val="en-US" w:eastAsia="zh-CN"/>
        </w:rPr>
      </w:pPr>
      <w:r>
        <w:rPr>
          <w:rFonts w:hint="eastAsia" w:ascii="仿宋_GB2312" w:hAnsi="仿宋_GB2312" w:eastAsia="仿宋_GB2312"/>
          <w:color w:val="auto"/>
          <w:kern w:val="2"/>
          <w:sz w:val="32"/>
          <w:lang w:val="en-US" w:eastAsia="zh-CN"/>
        </w:rPr>
        <w:t>1.退役军人各项政策法规落实落地</w:t>
      </w:r>
    </w:p>
    <w:p>
      <w:pPr>
        <w:autoSpaceDE/>
        <w:autoSpaceDN/>
        <w:adjustRightInd/>
        <w:spacing w:line="560" w:lineRule="exact"/>
        <w:ind w:firstLine="640" w:firstLineChars="200"/>
        <w:rPr>
          <w:rFonts w:hint="eastAsia" w:ascii="仿宋_GB2312" w:hAnsi="仿宋_GB2312" w:eastAsia="仿宋_GB2312"/>
          <w:color w:val="auto"/>
          <w:kern w:val="2"/>
          <w:sz w:val="32"/>
          <w:lang w:val="en-US" w:eastAsia="zh-CN"/>
        </w:rPr>
      </w:pPr>
      <w:r>
        <w:rPr>
          <w:rFonts w:hint="eastAsia" w:ascii="仿宋_GB2312" w:hAnsi="仿宋_GB2312" w:eastAsia="仿宋_GB2312"/>
          <w:color w:val="auto"/>
          <w:kern w:val="2"/>
          <w:sz w:val="32"/>
          <w:lang w:val="en-US" w:eastAsia="zh-CN"/>
        </w:rPr>
        <w:t>2.移交安置和就业创业稳步推进</w:t>
      </w:r>
    </w:p>
    <w:p>
      <w:pPr>
        <w:autoSpaceDE/>
        <w:autoSpaceDN/>
        <w:adjustRightInd/>
        <w:spacing w:line="560" w:lineRule="exact"/>
        <w:ind w:firstLine="640" w:firstLineChars="200"/>
        <w:rPr>
          <w:rFonts w:hint="eastAsia" w:ascii="仿宋_GB2312" w:hAnsi="仿宋_GB2312" w:eastAsia="仿宋_GB2312"/>
          <w:color w:val="auto"/>
          <w:kern w:val="2"/>
          <w:sz w:val="32"/>
          <w:lang w:val="en-US" w:eastAsia="zh-CN"/>
        </w:rPr>
      </w:pPr>
      <w:r>
        <w:rPr>
          <w:rFonts w:hint="eastAsia" w:ascii="仿宋_GB2312" w:hAnsi="仿宋_GB2312" w:eastAsia="仿宋_GB2312"/>
          <w:color w:val="auto"/>
          <w:kern w:val="2"/>
          <w:sz w:val="32"/>
          <w:lang w:val="en-US" w:eastAsia="zh-CN"/>
        </w:rPr>
        <w:t>3.双拥优抚工作持续深入</w:t>
      </w:r>
    </w:p>
    <w:p>
      <w:pPr>
        <w:autoSpaceDE/>
        <w:autoSpaceDN/>
        <w:adjustRightInd/>
        <w:spacing w:line="560" w:lineRule="exact"/>
        <w:ind w:firstLine="640" w:firstLineChars="200"/>
        <w:rPr>
          <w:rFonts w:hint="eastAsia" w:ascii="仿宋_GB2312" w:hAnsi="仿宋_GB2312" w:eastAsia="仿宋_GB2312"/>
          <w:color w:val="auto"/>
          <w:kern w:val="2"/>
          <w:sz w:val="32"/>
          <w:lang w:val="en-US" w:eastAsia="zh-CN"/>
        </w:rPr>
      </w:pPr>
      <w:r>
        <w:rPr>
          <w:rFonts w:hint="eastAsia" w:ascii="仿宋_GB2312" w:hAnsi="仿宋_GB2312" w:eastAsia="仿宋_GB2312"/>
          <w:color w:val="auto"/>
          <w:kern w:val="2"/>
          <w:sz w:val="32"/>
          <w:lang w:val="en-US" w:eastAsia="zh-CN"/>
        </w:rPr>
        <w:t>4.服务保障体系建设继续深化</w:t>
      </w:r>
    </w:p>
    <w:p>
      <w:pPr>
        <w:autoSpaceDE/>
        <w:autoSpaceDN/>
        <w:adjustRightInd/>
        <w:spacing w:line="560" w:lineRule="exact"/>
        <w:ind w:firstLine="640" w:firstLineChars="200"/>
        <w:rPr>
          <w:rFonts w:ascii="Times New Roman" w:hAnsi="Times New Roman" w:eastAsia="Times New Roman" w:cs="Times New Roman"/>
          <w:kern w:val="0"/>
          <w:sz w:val="24"/>
        </w:rPr>
      </w:pPr>
      <w:r>
        <w:rPr>
          <w:rFonts w:hint="eastAsia" w:ascii="仿宋_GB2312" w:hAnsi="仿宋_GB2312" w:eastAsia="仿宋_GB2312"/>
          <w:color w:val="auto"/>
          <w:kern w:val="2"/>
          <w:sz w:val="32"/>
          <w:lang w:val="en-US" w:eastAsia="zh-CN"/>
        </w:rPr>
        <w:t>5.退役军人信访问题攻坚化解成效显著</w:t>
      </w:r>
    </w:p>
    <w:p>
      <w:pPr>
        <w:pStyle w:val="5"/>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第二部分  部门（单位）决算情况说明</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一、收入支出决算总体情况说明</w:t>
      </w:r>
    </w:p>
    <w:p>
      <w:pPr>
        <w:spacing w:line="560" w:lineRule="exact"/>
        <w:ind w:firstLine="540" w:firstLineChars="200"/>
        <w:jc w:val="both"/>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度收入、支出决算总计</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241.52</w:t>
      </w:r>
      <w:r>
        <w:rPr>
          <w:rFonts w:ascii="fang_song_gb2312" w:hAnsi="fang_song_gb2312" w:eastAsia="fang_song_gb2312" w:cs="fang_song_gb2312"/>
          <w:kern w:val="0"/>
          <w:sz w:val="27"/>
          <w:szCs w:val="27"/>
        </w:rPr>
        <w:t>万元。与年初预算相比，收、支总计各增加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29.37</w:t>
      </w:r>
      <w:r>
        <w:rPr>
          <w:rFonts w:ascii="fang_song_gb2312" w:hAnsi="fang_song_gb2312" w:eastAsia="fang_song_gb2312" w:cs="fang_song_gb2312"/>
          <w:kern w:val="0"/>
          <w:sz w:val="27"/>
          <w:szCs w:val="27"/>
        </w:rPr>
        <w:t>万元，增长</w:t>
      </w:r>
      <w:r>
        <w:rPr>
          <w:rFonts w:hint="eastAsia" w:ascii="times_new_roman" w:hAnsi="times_new_roman" w:cs="times_new_roman"/>
          <w:kern w:val="0"/>
          <w:sz w:val="27"/>
          <w:szCs w:val="27"/>
          <w:u w:val="single"/>
          <w:lang w:val="en-US" w:eastAsia="zh-CN"/>
        </w:rPr>
        <w:t>13</w:t>
      </w:r>
      <w:r>
        <w:rPr>
          <w:rFonts w:ascii="times_new_roman" w:hAnsi="times_new_roman" w:eastAsia="times_new_roman" w:cs="times_new_roman"/>
          <w:kern w:val="0"/>
          <w:sz w:val="27"/>
          <w:szCs w:val="27"/>
          <w:u w:val="single"/>
        </w:rPr>
        <w:t>.</w:t>
      </w:r>
      <w:r>
        <w:rPr>
          <w:rFonts w:hint="eastAsia" w:ascii="times_new_roman" w:hAnsi="times_new_roman" w:cs="times_new_roman"/>
          <w:kern w:val="0"/>
          <w:sz w:val="27"/>
          <w:szCs w:val="27"/>
          <w:u w:val="single"/>
          <w:lang w:val="en-US" w:eastAsia="zh-CN"/>
        </w:rPr>
        <w:t>84</w:t>
      </w:r>
      <w:r>
        <w:rPr>
          <w:rFonts w:ascii="fang_song_gb2312" w:hAnsi="fang_song_gb2312" w:eastAsia="fang_song_gb2312" w:cs="fang_song_gb2312"/>
          <w:kern w:val="0"/>
          <w:sz w:val="27"/>
          <w:szCs w:val="27"/>
        </w:rPr>
        <w:t>%，变动原因：</w:t>
      </w:r>
      <w:r>
        <w:rPr>
          <w:rFonts w:hint="eastAsia" w:ascii="仿宋_GB2312" w:hAnsi="仿宋_GB2312" w:eastAsia="仿宋_GB2312"/>
          <w:color w:val="auto"/>
          <w:kern w:val="2"/>
          <w:sz w:val="32"/>
          <w:lang w:val="en-US" w:eastAsia="zh-CN"/>
        </w:rPr>
        <w:t>调整工资标准，职工工资整体上涨；</w:t>
      </w:r>
      <w:r>
        <w:rPr>
          <w:rFonts w:ascii="fang_song_gb2312" w:hAnsi="fang_song_gb2312" w:eastAsia="fang_song_gb2312" w:cs="fang_song_gb2312"/>
          <w:kern w:val="0"/>
          <w:sz w:val="27"/>
          <w:szCs w:val="27"/>
        </w:rPr>
        <w:t>与上年决算相比，收、支总计各增加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36.52</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17.8</w:t>
      </w:r>
      <w:r>
        <w:rPr>
          <w:rFonts w:ascii="fang_song_gb2312" w:hAnsi="fang_song_gb2312" w:eastAsia="fang_song_gb2312" w:cs="fang_song_gb2312"/>
          <w:kern w:val="0"/>
          <w:sz w:val="27"/>
          <w:szCs w:val="27"/>
        </w:rPr>
        <w:t>%。其中：</w:t>
      </w:r>
      <w:r>
        <w:rPr>
          <w:rFonts w:hint="eastAsia" w:ascii="仿宋_GB2312" w:hAnsi="仿宋_GB2312" w:eastAsia="仿宋_GB2312"/>
          <w:color w:val="auto"/>
          <w:kern w:val="2"/>
          <w:sz w:val="32"/>
        </w:rPr>
        <w:t>：</w:t>
      </w:r>
      <w:r>
        <w:rPr>
          <w:rFonts w:hint="eastAsia" w:ascii="仿宋_GB2312" w:hAnsi="仿宋_GB2312" w:eastAsia="仿宋_GB2312"/>
          <w:color w:val="auto"/>
          <w:kern w:val="2"/>
          <w:sz w:val="32"/>
          <w:lang w:val="en-US" w:eastAsia="zh-CN"/>
        </w:rPr>
        <w:t>调整工资标准，职工工资整体上涨；</w:t>
      </w:r>
      <w:r>
        <w:rPr>
          <w:rFonts w:hint="eastAsia" w:ascii="仿宋_GB2312" w:hAnsi="Times New Roman" w:eastAsia="仿宋_GB2312"/>
          <w:sz w:val="32"/>
          <w:lang w:val="en-US" w:eastAsia="zh-CN"/>
        </w:rPr>
        <w:t>人员多次调动，相应</w:t>
      </w:r>
      <w:r>
        <w:rPr>
          <w:rFonts w:hint="eastAsia" w:ascii="仿宋_GB2312" w:hAnsi="Times New Roman" w:eastAsia="仿宋_GB2312"/>
          <w:sz w:val="32"/>
          <w:lang w:eastAsia="zh-CN"/>
        </w:rPr>
        <w:t>人员工资以及应交养老保险</w:t>
      </w:r>
      <w:r>
        <w:rPr>
          <w:rFonts w:hint="eastAsia" w:ascii="仿宋_GB2312" w:hAnsi="Times New Roman" w:eastAsia="仿宋_GB2312"/>
          <w:sz w:val="32"/>
          <w:lang w:val="en-US" w:eastAsia="zh-CN"/>
        </w:rPr>
        <w:t>等增长。</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（一）收入决算总计</w:t>
      </w:r>
      <w:r>
        <w:rPr>
          <w:rFonts w:ascii="times_new_roman" w:hAnsi="times_new_roman" w:eastAsia="times_new_roman" w:cs="times_new_roman"/>
          <w:b/>
          <w:bCs/>
          <w:kern w:val="0"/>
          <w:sz w:val="27"/>
          <w:szCs w:val="27"/>
          <w:u w:val="single"/>
        </w:rPr>
        <w:t xml:space="preserve"> 2</w:t>
      </w:r>
      <w:r>
        <w:rPr>
          <w:rFonts w:hint="eastAsia" w:ascii="times_new_roman" w:hAnsi="times_new_roman" w:cs="times_new_roman"/>
          <w:b/>
          <w:bCs/>
          <w:kern w:val="0"/>
          <w:sz w:val="27"/>
          <w:szCs w:val="27"/>
          <w:u w:val="single"/>
          <w:lang w:val="en-US" w:eastAsia="zh-CN"/>
        </w:rPr>
        <w:t>41.52</w:t>
      </w:r>
      <w:r>
        <w:rPr>
          <w:rFonts w:ascii="kai_ti_gb2312" w:hAnsi="kai_ti_gb2312" w:eastAsia="kai_ti_gb2312" w:cs="kai_ti_gb2312"/>
          <w:b/>
          <w:bCs/>
          <w:kern w:val="0"/>
          <w:sz w:val="27"/>
          <w:szCs w:val="27"/>
        </w:rPr>
        <w:t>万元。包括：</w:t>
      </w:r>
    </w:p>
    <w:p>
      <w:pPr>
        <w:spacing w:line="560" w:lineRule="exact"/>
        <w:ind w:firstLine="640"/>
        <w:jc w:val="both"/>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1.本年收入决算合计</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241.52</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36.52</w:t>
      </w:r>
      <w:r>
        <w:rPr>
          <w:rFonts w:ascii="fang_song_gb2312" w:hAnsi="fang_song_gb2312" w:eastAsia="fang_song_gb2312" w:cs="fang_song_gb2312"/>
          <w:kern w:val="0"/>
          <w:sz w:val="27"/>
          <w:szCs w:val="27"/>
        </w:rPr>
        <w:t xml:space="preserve">万元，增长 </w:t>
      </w:r>
      <w:r>
        <w:rPr>
          <w:rFonts w:hint="eastAsia" w:ascii="times_new_roman" w:hAnsi="times_new_roman" w:cs="times_new_roman"/>
          <w:kern w:val="0"/>
          <w:sz w:val="27"/>
          <w:szCs w:val="27"/>
          <w:u w:val="single"/>
          <w:lang w:val="en-US" w:eastAsia="zh-CN"/>
        </w:rPr>
        <w:t>17</w:t>
      </w:r>
      <w:r>
        <w:rPr>
          <w:rFonts w:ascii="times_new_roman" w:hAnsi="times_new_roman" w:eastAsia="times_new_roman" w:cs="times_new_roman"/>
          <w:kern w:val="0"/>
          <w:sz w:val="27"/>
          <w:szCs w:val="27"/>
          <w:u w:val="single"/>
        </w:rPr>
        <w:t>.</w:t>
      </w:r>
      <w:r>
        <w:rPr>
          <w:rFonts w:hint="eastAsia" w:ascii="times_new_roman" w:hAnsi="times_new_roman" w:cs="times_new_roman"/>
          <w:kern w:val="0"/>
          <w:sz w:val="27"/>
          <w:szCs w:val="27"/>
          <w:u w:val="single"/>
          <w:lang w:val="en-US" w:eastAsia="zh-CN"/>
        </w:rPr>
        <w:t>8</w:t>
      </w:r>
      <w:r>
        <w:rPr>
          <w:rFonts w:ascii="fang_song_gb2312" w:hAnsi="fang_song_gb2312" w:eastAsia="fang_song_gb2312" w:cs="fang_song_gb2312"/>
          <w:kern w:val="0"/>
          <w:sz w:val="27"/>
          <w:szCs w:val="27"/>
        </w:rPr>
        <w:t>%，变动原因：</w:t>
      </w:r>
      <w:r>
        <w:rPr>
          <w:rFonts w:hint="eastAsia" w:ascii="仿宋_GB2312" w:hAnsi="仿宋_GB2312" w:eastAsia="仿宋_GB2312"/>
          <w:color w:val="auto"/>
          <w:kern w:val="2"/>
          <w:sz w:val="32"/>
          <w:lang w:val="en-US" w:eastAsia="zh-CN"/>
        </w:rPr>
        <w:t>调整工资标准，职工工资整体上涨；</w:t>
      </w:r>
      <w:r>
        <w:rPr>
          <w:rFonts w:hint="eastAsia" w:ascii="仿宋_GB2312" w:hAnsi="Times New Roman" w:eastAsia="仿宋_GB2312"/>
          <w:sz w:val="32"/>
          <w:lang w:val="en-US" w:eastAsia="zh-CN"/>
        </w:rPr>
        <w:t>人员多次调动，相应</w:t>
      </w:r>
      <w:r>
        <w:rPr>
          <w:rFonts w:hint="eastAsia" w:ascii="仿宋_GB2312" w:hAnsi="Times New Roman" w:eastAsia="仿宋_GB2312"/>
          <w:sz w:val="32"/>
          <w:lang w:eastAsia="zh-CN"/>
        </w:rPr>
        <w:t>人员工资以及应交养老保险</w:t>
      </w:r>
      <w:r>
        <w:rPr>
          <w:rFonts w:hint="eastAsia" w:ascii="仿宋_GB2312" w:hAnsi="Times New Roman" w:eastAsia="仿宋_GB2312"/>
          <w:sz w:val="32"/>
          <w:lang w:val="en-US" w:eastAsia="zh-CN"/>
        </w:rPr>
        <w:t>等增长</w:t>
      </w:r>
      <w:r>
        <w:rPr>
          <w:rFonts w:hint="eastAsia" w:ascii="仿宋_GB2312" w:hAnsi="仿宋_GB2312" w:eastAsia="仿宋_GB2312"/>
          <w:color w:val="auto"/>
          <w:kern w:val="2"/>
          <w:sz w:val="32"/>
        </w:rPr>
        <w:t>。</w:t>
      </w:r>
    </w:p>
    <w:p>
      <w:pPr>
        <w:spacing w:line="560" w:lineRule="exact"/>
        <w:ind w:firstLine="640"/>
        <w:jc w:val="both"/>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2.使用非财政拨款结余和专用结余</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万元，增长</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%，变动原因：</w:t>
      </w:r>
      <w:r>
        <w:rPr>
          <w:rFonts w:hint="eastAsia" w:ascii="仿宋_GB2312" w:hAnsi="仿宋_GB2312" w:eastAsia="仿宋_GB2312"/>
          <w:color w:val="auto"/>
          <w:kern w:val="2"/>
          <w:sz w:val="32"/>
          <w:lang w:val="en-US" w:eastAsia="zh-CN"/>
        </w:rPr>
        <w:t>本单位无</w:t>
      </w:r>
      <w:r>
        <w:rPr>
          <w:rFonts w:hint="eastAsia" w:ascii="仿宋_GB2312" w:hAnsi="仿宋_GB2312" w:eastAsia="仿宋_GB2312"/>
          <w:color w:val="auto"/>
          <w:kern w:val="2"/>
          <w:sz w:val="32"/>
        </w:rPr>
        <w:t>非财政拨款</w:t>
      </w:r>
      <w:r>
        <w:rPr>
          <w:rFonts w:hint="eastAsia" w:ascii="仿宋_GB2312" w:hAnsi="仿宋_GB2312" w:eastAsia="仿宋_GB2312"/>
          <w:color w:val="auto"/>
          <w:kern w:val="2"/>
          <w:sz w:val="32"/>
          <w:lang w:val="en-US" w:eastAsia="zh-CN"/>
        </w:rPr>
        <w:t>资金，不存在此项内容</w:t>
      </w:r>
      <w:r>
        <w:rPr>
          <w:rFonts w:hint="eastAsia" w:ascii="仿宋_GB2312" w:hAnsi="仿宋_GB2312" w:eastAsia="仿宋_GB2312"/>
          <w:color w:val="auto"/>
          <w:kern w:val="2"/>
          <w:sz w:val="32"/>
        </w:rPr>
        <w:t>。</w:t>
      </w:r>
    </w:p>
    <w:p>
      <w:pPr>
        <w:spacing w:line="560" w:lineRule="exact"/>
        <w:ind w:firstLine="640"/>
        <w:jc w:val="both"/>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3.年初结转和结余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万元。与上年决算相比，增加（减少）</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w:t>
      </w:r>
      <w:r>
        <w:rPr>
          <w:rFonts w:hint="eastAsia" w:ascii="仿宋_GB2312" w:hAnsi="仿宋_GB2312" w:eastAsia="仿宋_GB2312"/>
          <w:color w:val="auto"/>
          <w:kern w:val="2"/>
          <w:sz w:val="32"/>
          <w:lang w:val="en-US" w:eastAsia="zh-CN"/>
        </w:rPr>
        <w:t>本单位无</w:t>
      </w:r>
      <w:r>
        <w:rPr>
          <w:rFonts w:hint="eastAsia" w:ascii="仿宋_GB2312" w:hAnsi="仿宋_GB2312" w:eastAsia="仿宋_GB2312"/>
          <w:color w:val="auto"/>
          <w:kern w:val="2"/>
          <w:sz w:val="32"/>
        </w:rPr>
        <w:t>结转和结余</w:t>
      </w:r>
      <w:r>
        <w:rPr>
          <w:rFonts w:hint="eastAsia" w:ascii="仿宋_GB2312" w:hAnsi="仿宋_GB2312" w:eastAsia="仿宋_GB2312"/>
          <w:color w:val="auto"/>
          <w:kern w:val="2"/>
          <w:sz w:val="32"/>
          <w:lang w:val="en-US" w:eastAsia="zh-CN"/>
        </w:rPr>
        <w:t>资金，不存在此项内容</w:t>
      </w:r>
      <w:r>
        <w:rPr>
          <w:rFonts w:hint="eastAsia" w:ascii="仿宋_GB2312" w:hAnsi="仿宋_GB2312" w:eastAsia="仿宋_GB2312"/>
          <w:color w:val="auto"/>
          <w:kern w:val="2"/>
          <w:sz w:val="32"/>
        </w:rPr>
        <w:t>。</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（二）支出决算总计</w:t>
      </w:r>
      <w:r>
        <w:rPr>
          <w:rFonts w:ascii="times_new_roman" w:hAnsi="times_new_roman" w:eastAsia="times_new_roman" w:cs="times_new_roman"/>
          <w:b/>
          <w:bCs/>
          <w:kern w:val="0"/>
          <w:sz w:val="27"/>
          <w:szCs w:val="27"/>
          <w:u w:val="single"/>
        </w:rPr>
        <w:t xml:space="preserve"> </w:t>
      </w:r>
      <w:r>
        <w:rPr>
          <w:rFonts w:hint="eastAsia" w:ascii="times_new_roman" w:hAnsi="times_new_roman" w:cs="times_new_roman"/>
          <w:b/>
          <w:bCs/>
          <w:kern w:val="0"/>
          <w:sz w:val="27"/>
          <w:szCs w:val="27"/>
          <w:u w:val="single"/>
          <w:lang w:val="en-US" w:eastAsia="zh-CN"/>
        </w:rPr>
        <w:t>241.52</w:t>
      </w:r>
      <w:r>
        <w:rPr>
          <w:rFonts w:ascii="kai_ti_gb2312" w:hAnsi="kai_ti_gb2312" w:eastAsia="kai_ti_gb2312" w:cs="kai_ti_gb2312"/>
          <w:b/>
          <w:bCs/>
          <w:kern w:val="0"/>
          <w:sz w:val="27"/>
          <w:szCs w:val="27"/>
        </w:rPr>
        <w:t>万元。包括：</w:t>
      </w:r>
    </w:p>
    <w:p>
      <w:pPr>
        <w:spacing w:line="560" w:lineRule="exact"/>
        <w:ind w:firstLine="640"/>
        <w:jc w:val="both"/>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1.本年支出决算合计</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241.52</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36.52</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17.8</w:t>
      </w:r>
      <w:r>
        <w:rPr>
          <w:rFonts w:ascii="fang_song_gb2312" w:hAnsi="fang_song_gb2312" w:eastAsia="fang_song_gb2312" w:cs="fang_song_gb2312"/>
          <w:kern w:val="0"/>
          <w:sz w:val="27"/>
          <w:szCs w:val="27"/>
        </w:rPr>
        <w:t>%，变动原因：</w:t>
      </w:r>
      <w:r>
        <w:rPr>
          <w:rFonts w:hint="eastAsia" w:ascii="仿宋_GB2312" w:hAnsi="仿宋_GB2312" w:eastAsia="仿宋_GB2312"/>
          <w:color w:val="auto"/>
          <w:kern w:val="2"/>
          <w:sz w:val="32"/>
          <w:lang w:val="en-US" w:eastAsia="zh-CN"/>
        </w:rPr>
        <w:t>调整工资标准，职工工资整体上涨；</w:t>
      </w:r>
      <w:r>
        <w:rPr>
          <w:rFonts w:hint="eastAsia" w:ascii="仿宋_GB2312" w:hAnsi="Times New Roman" w:eastAsia="仿宋_GB2312"/>
          <w:sz w:val="32"/>
          <w:lang w:val="en-US" w:eastAsia="zh-CN"/>
        </w:rPr>
        <w:t>人员多次调动，相应</w:t>
      </w:r>
      <w:r>
        <w:rPr>
          <w:rFonts w:hint="eastAsia" w:ascii="仿宋_GB2312" w:hAnsi="Times New Roman" w:eastAsia="仿宋_GB2312"/>
          <w:sz w:val="32"/>
          <w:lang w:eastAsia="zh-CN"/>
        </w:rPr>
        <w:t>人员工资以及应交养老保险</w:t>
      </w:r>
      <w:r>
        <w:rPr>
          <w:rFonts w:hint="eastAsia" w:ascii="仿宋_GB2312" w:hAnsi="Times New Roman" w:eastAsia="仿宋_GB2312"/>
          <w:sz w:val="32"/>
          <w:lang w:val="en-US" w:eastAsia="zh-CN"/>
        </w:rPr>
        <w:t>等增长</w:t>
      </w:r>
      <w:r>
        <w:rPr>
          <w:rFonts w:hint="eastAsia" w:ascii="仿宋_GB2312" w:hAnsi="仿宋_GB2312" w:eastAsia="仿宋_GB2312"/>
          <w:color w:val="auto"/>
          <w:kern w:val="2"/>
          <w:sz w:val="32"/>
        </w:rPr>
        <w:t>。</w:t>
      </w:r>
    </w:p>
    <w:p>
      <w:pPr>
        <w:spacing w:line="560" w:lineRule="exact"/>
        <w:ind w:firstLine="640"/>
        <w:jc w:val="both"/>
        <w:rPr>
          <w:rFonts w:hint="default" w:ascii="Times New Roman" w:hAnsi="Times New Roman" w:eastAsia="Times New Roman"/>
          <w:color w:val="auto"/>
          <w:kern w:val="2"/>
          <w:sz w:val="32"/>
        </w:rPr>
      </w:pPr>
      <w:r>
        <w:rPr>
          <w:rFonts w:ascii="fang_song_gb2312" w:hAnsi="fang_song_gb2312" w:eastAsia="fang_song_gb2312" w:cs="fang_song_gb2312"/>
          <w:kern w:val="0"/>
          <w:sz w:val="27"/>
          <w:szCs w:val="27"/>
        </w:rPr>
        <w:t>    2.结余分配</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万元。结余分配事项：</w:t>
      </w:r>
      <w:r>
        <w:rPr>
          <w:rFonts w:hint="eastAsia" w:ascii="fang_song_gb2312" w:hAnsi="fang_song_gb2312" w:cs="fang_song_gb2312"/>
          <w:kern w:val="0"/>
          <w:sz w:val="27"/>
          <w:szCs w:val="27"/>
          <w:lang w:eastAsia="zh-CN"/>
        </w:rPr>
        <w:t>无</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万元，增长</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%，变动原因：</w:t>
      </w:r>
      <w:r>
        <w:rPr>
          <w:rFonts w:hint="eastAsia" w:ascii="仿宋_GB2312" w:hAnsi="仿宋_GB2312" w:eastAsia="仿宋_GB2312"/>
          <w:color w:val="auto"/>
          <w:kern w:val="2"/>
          <w:sz w:val="32"/>
          <w:lang w:val="en-US" w:eastAsia="zh-CN"/>
        </w:rPr>
        <w:t>本单位无</w:t>
      </w:r>
      <w:r>
        <w:rPr>
          <w:rFonts w:hint="eastAsia" w:ascii="仿宋_GB2312" w:hAnsi="仿宋_GB2312" w:eastAsia="仿宋_GB2312"/>
          <w:color w:val="auto"/>
          <w:kern w:val="2"/>
          <w:sz w:val="32"/>
        </w:rPr>
        <w:t>结转和结余</w:t>
      </w:r>
      <w:r>
        <w:rPr>
          <w:rFonts w:hint="eastAsia" w:ascii="仿宋_GB2312" w:hAnsi="仿宋_GB2312" w:eastAsia="仿宋_GB2312"/>
          <w:color w:val="auto"/>
          <w:kern w:val="2"/>
          <w:sz w:val="32"/>
          <w:lang w:val="en-US" w:eastAsia="zh-CN"/>
        </w:rPr>
        <w:t>资金，不存在此项内容</w:t>
      </w:r>
      <w:r>
        <w:rPr>
          <w:rFonts w:hint="eastAsia" w:ascii="仿宋_GB2312" w:hAnsi="仿宋_GB2312" w:eastAsia="仿宋_GB2312"/>
          <w:color w:val="auto"/>
          <w:kern w:val="2"/>
          <w:sz w:val="32"/>
        </w:rPr>
        <w:t>。</w:t>
      </w:r>
    </w:p>
    <w:p>
      <w:pPr>
        <w:spacing w:line="560" w:lineRule="exact"/>
        <w:ind w:firstLine="640"/>
        <w:jc w:val="both"/>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3.年末结转和结余</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万元。结转和结余事项：</w:t>
      </w:r>
      <w:r>
        <w:rPr>
          <w:rFonts w:hint="eastAsia" w:ascii="fang_song_gb2312" w:hAnsi="fang_song_gb2312" w:cs="fang_song_gb2312"/>
          <w:kern w:val="0"/>
          <w:sz w:val="27"/>
          <w:szCs w:val="27"/>
          <w:lang w:eastAsia="zh-CN"/>
        </w:rPr>
        <w:t>无</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万元，增长</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w:t>
      </w:r>
      <w:r>
        <w:rPr>
          <w:rFonts w:hint="eastAsia" w:ascii="仿宋_GB2312" w:hAnsi="仿宋_GB2312" w:eastAsia="仿宋_GB2312"/>
          <w:color w:val="auto"/>
          <w:kern w:val="2"/>
          <w:sz w:val="32"/>
          <w:lang w:val="en-US" w:eastAsia="zh-CN"/>
        </w:rPr>
        <w:t>本单位无</w:t>
      </w:r>
      <w:r>
        <w:rPr>
          <w:rFonts w:hint="eastAsia" w:ascii="仿宋_GB2312" w:hAnsi="仿宋_GB2312" w:eastAsia="仿宋_GB2312"/>
          <w:color w:val="auto"/>
          <w:kern w:val="2"/>
          <w:sz w:val="32"/>
        </w:rPr>
        <w:t>结转和结余</w:t>
      </w:r>
      <w:r>
        <w:rPr>
          <w:rFonts w:hint="eastAsia" w:ascii="仿宋_GB2312" w:hAnsi="仿宋_GB2312" w:eastAsia="仿宋_GB2312"/>
          <w:color w:val="auto"/>
          <w:kern w:val="2"/>
          <w:sz w:val="32"/>
          <w:lang w:val="en-US" w:eastAsia="zh-CN"/>
        </w:rPr>
        <w:t>资金，不存在此项内容</w:t>
      </w:r>
      <w:r>
        <w:rPr>
          <w:rFonts w:hint="eastAsia" w:ascii="仿宋_GB2312" w:hAnsi="仿宋_GB2312" w:eastAsia="仿宋_GB2312"/>
          <w:color w:val="auto"/>
          <w:kern w:val="2"/>
          <w:sz w:val="32"/>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二、收入决算情况说明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xml:space="preserve">    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年度本年收入决算合计</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241.52</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本年一般公共预算财政拨款收入</w:t>
      </w:r>
      <w:r>
        <w:rPr>
          <w:rFonts w:ascii="times_new_roman" w:hAnsi="times_new_roman" w:eastAsia="times_new_roman" w:cs="times_new_roman"/>
          <w:kern w:val="0"/>
          <w:sz w:val="27"/>
          <w:szCs w:val="27"/>
          <w:u w:val="single"/>
        </w:rPr>
        <w:t xml:space="preserve"> 2</w:t>
      </w:r>
      <w:r>
        <w:rPr>
          <w:rFonts w:hint="eastAsia" w:ascii="times_new_roman" w:hAnsi="times_new_roman" w:cs="times_new_roman"/>
          <w:kern w:val="0"/>
          <w:sz w:val="27"/>
          <w:szCs w:val="27"/>
          <w:u w:val="single"/>
          <w:lang w:val="en-US" w:eastAsia="zh-CN"/>
        </w:rPr>
        <w:t>41.52</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100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本年政府性基金预算财政拨款收入</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本年国有资本经营预算财政拨款收入</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本年上级补助收入</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本年事业收入</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本年经营收入</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本年附属单位上缴收入</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本年其他收入</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fang_song_gb2312" w:hAnsi="fang_song_gb2312" w:eastAsia="fang_song_gb2312" w:cs="fang_song_gb2312"/>
          <w:kern w:val="0"/>
          <w:sz w:val="27"/>
          <w:szCs w:val="27"/>
        </w:rPr>
      </w:pPr>
      <w:r>
        <w:drawing>
          <wp:inline distT="0" distB="0" distL="114300" distR="114300">
            <wp:extent cx="4572000" cy="2743200"/>
            <wp:effectExtent l="4445" t="4445" r="14605" b="14605"/>
            <wp:docPr id="1" name="图表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.收入决算图</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内蒙古自治区巴彦淖尔市退役军人服务中心 202</w:t>
      </w:r>
      <w:r>
        <w:rPr>
          <w:rFonts w:hint="eastAsia" w:ascii="fang_song_gb2312" w:hAnsi="fang_song_gb2312" w:cs="fang_song_gb2312"/>
          <w:kern w:val="0"/>
          <w:sz w:val="27"/>
          <w:szCs w:val="27"/>
          <w:lang w:val="en-US" w:eastAsia="zh-CN"/>
        </w:rPr>
        <w:t>4</w:t>
      </w:r>
      <w:r>
        <w:rPr>
          <w:rFonts w:ascii="fang_song_gb2312" w:hAnsi="fang_song_gb2312" w:eastAsia="fang_song_gb2312" w:cs="fang_song_gb2312"/>
          <w:kern w:val="0"/>
          <w:sz w:val="27"/>
          <w:szCs w:val="27"/>
        </w:rPr>
        <w:t>年度本年支出决算合计</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241.52</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本年基本支出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212.52</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88</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本年项目支出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29</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12</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本年上缴上级支出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本年对附属单位补助支出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drawing>
          <wp:inline distT="0" distB="0" distL="114300" distR="114300">
            <wp:extent cx="4572000" cy="2743200"/>
            <wp:effectExtent l="4445" t="4445" r="14605" b="14605"/>
            <wp:docPr id="2" name="图表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图2.支出决算图</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四、财政拨款收入支出决算总体情况说明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年度财政拨款收入、支出决算总计</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241.52</w:t>
      </w:r>
      <w:r>
        <w:rPr>
          <w:rFonts w:ascii="fang_song_gb2312" w:hAnsi="fang_song_gb2312" w:eastAsia="fang_song_gb2312" w:cs="fang_song_gb2312"/>
          <w:kern w:val="0"/>
          <w:sz w:val="27"/>
          <w:szCs w:val="27"/>
        </w:rPr>
        <w:t>万元，与年初预算相比，收、支总计各增加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29.37</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13.84</w:t>
      </w:r>
      <w:r>
        <w:rPr>
          <w:rFonts w:ascii="fang_song_gb2312" w:hAnsi="fang_song_gb2312" w:eastAsia="fang_song_gb2312" w:cs="fang_song_gb2312"/>
          <w:kern w:val="0"/>
          <w:sz w:val="27"/>
          <w:szCs w:val="27"/>
        </w:rPr>
        <w:t>%，变动原因：</w:t>
      </w:r>
      <w:r>
        <w:rPr>
          <w:rFonts w:hint="eastAsia" w:ascii="仿宋_GB2312" w:hAnsi="仿宋_GB2312" w:eastAsia="仿宋_GB2312"/>
          <w:color w:val="auto"/>
          <w:kern w:val="2"/>
          <w:sz w:val="32"/>
          <w:lang w:val="en-US" w:eastAsia="zh-CN"/>
        </w:rPr>
        <w:t>调整工资标准，职工工资整体上涨；</w:t>
      </w:r>
      <w:r>
        <w:rPr>
          <w:rFonts w:hint="eastAsia" w:ascii="仿宋_GB2312" w:hAnsi="Times New Roman" w:eastAsia="仿宋_GB2312"/>
          <w:sz w:val="32"/>
          <w:lang w:val="en-US" w:eastAsia="zh-CN"/>
        </w:rPr>
        <w:t>人员多次调动，相应</w:t>
      </w:r>
      <w:r>
        <w:rPr>
          <w:rFonts w:hint="eastAsia" w:ascii="仿宋_GB2312" w:hAnsi="Times New Roman" w:eastAsia="仿宋_GB2312"/>
          <w:sz w:val="32"/>
          <w:lang w:eastAsia="zh-CN"/>
        </w:rPr>
        <w:t>人员工资以及应交养老保险</w:t>
      </w:r>
      <w:r>
        <w:rPr>
          <w:rFonts w:hint="eastAsia" w:ascii="仿宋_GB2312" w:hAnsi="Times New Roman" w:eastAsia="仿宋_GB2312"/>
          <w:sz w:val="32"/>
          <w:lang w:val="en-US" w:eastAsia="zh-CN"/>
        </w:rPr>
        <w:t>等增长</w:t>
      </w:r>
      <w:r>
        <w:rPr>
          <w:rFonts w:ascii="fang_song_gb2312" w:hAnsi="fang_song_gb2312" w:eastAsia="fang_song_gb2312" w:cs="fang_song_gb2312"/>
          <w:kern w:val="0"/>
          <w:sz w:val="27"/>
          <w:szCs w:val="27"/>
        </w:rPr>
        <w:t>；与上年决算相比，收、支总计各增加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36.52</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17.8</w:t>
      </w:r>
      <w:r>
        <w:rPr>
          <w:rFonts w:ascii="fang_song_gb2312" w:hAnsi="fang_song_gb2312" w:eastAsia="fang_song_gb2312" w:cs="fang_song_gb2312"/>
          <w:kern w:val="0"/>
          <w:sz w:val="27"/>
          <w:szCs w:val="27"/>
        </w:rPr>
        <w:t>%，变动原因：</w:t>
      </w:r>
      <w:r>
        <w:rPr>
          <w:rFonts w:hint="eastAsia" w:ascii="仿宋_GB2312" w:hAnsi="仿宋_GB2312" w:eastAsia="仿宋_GB2312"/>
          <w:color w:val="auto"/>
          <w:kern w:val="2"/>
          <w:sz w:val="32"/>
          <w:lang w:val="en-US" w:eastAsia="zh-CN"/>
        </w:rPr>
        <w:t>调整工资标准，职工工资整体上涨；</w:t>
      </w:r>
      <w:r>
        <w:rPr>
          <w:rFonts w:hint="eastAsia" w:ascii="仿宋_GB2312" w:hAnsi="Times New Roman" w:eastAsia="仿宋_GB2312"/>
          <w:sz w:val="32"/>
          <w:lang w:val="en-US" w:eastAsia="zh-CN"/>
        </w:rPr>
        <w:t>人员多次调动，相应</w:t>
      </w:r>
      <w:r>
        <w:rPr>
          <w:rFonts w:hint="eastAsia" w:ascii="仿宋_GB2312" w:hAnsi="Times New Roman" w:eastAsia="仿宋_GB2312"/>
          <w:sz w:val="32"/>
          <w:lang w:eastAsia="zh-CN"/>
        </w:rPr>
        <w:t>人员工资以及应交养老保险</w:t>
      </w:r>
      <w:r>
        <w:rPr>
          <w:rFonts w:hint="eastAsia" w:ascii="仿宋_GB2312" w:hAnsi="Times New Roman" w:eastAsia="仿宋_GB2312"/>
          <w:sz w:val="32"/>
          <w:lang w:val="en-US" w:eastAsia="zh-CN"/>
        </w:rPr>
        <w:t>等增长</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五、一般公共预算财政拨款支出决算情况说明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年度一般公共预算财政拨款支出决算</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241.52</w:t>
      </w:r>
      <w:r>
        <w:rPr>
          <w:rFonts w:ascii="fang_song_gb2312" w:hAnsi="fang_song_gb2312" w:eastAsia="fang_song_gb2312" w:cs="fang_song_gb2312"/>
          <w:kern w:val="0"/>
          <w:sz w:val="27"/>
          <w:szCs w:val="27"/>
        </w:rPr>
        <w:t>万元。与年初预算</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212.15</w:t>
      </w:r>
      <w:r>
        <w:rPr>
          <w:rFonts w:ascii="fang_song_gb2312" w:hAnsi="fang_song_gb2312" w:eastAsia="fang_song_gb2312" w:cs="fang_song_gb2312"/>
          <w:kern w:val="0"/>
          <w:sz w:val="27"/>
          <w:szCs w:val="27"/>
        </w:rPr>
        <w:t>万元相比，完成年初预算的</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113.8</w:t>
      </w:r>
      <w:r>
        <w:rPr>
          <w:rFonts w:ascii="fang_song_gb2312" w:hAnsi="fang_song_gb2312" w:eastAsia="fang_song_gb2312" w:cs="fang_song_gb2312"/>
          <w:kern w:val="0"/>
          <w:sz w:val="27"/>
          <w:szCs w:val="27"/>
        </w:rPr>
        <w:t>%。其中：</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（一）一般公共服务（类）</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一般公共服务类决算数为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万元，与年初预算相比增加</w:t>
      </w:r>
      <w:r>
        <w:rPr>
          <w:rFonts w:ascii="times_new_roman" w:hAnsi="times_new_roman" w:eastAsia="times_new_roman" w:cs="times_new_roman"/>
          <w:kern w:val="0"/>
          <w:sz w:val="27"/>
          <w:szCs w:val="27"/>
          <w:u w:val="single"/>
        </w:rPr>
        <w:t>0</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1．人大事务（款）行政运行（项）。年初预算</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%。决算数与年初预算数的差异原因：</w:t>
      </w:r>
      <w:r>
        <w:rPr>
          <w:rFonts w:hint="eastAsia" w:ascii="仿宋_GB2312" w:hAnsi="仿宋_GB2312" w:eastAsia="仿宋_GB2312"/>
          <w:color w:val="auto"/>
          <w:kern w:val="2"/>
          <w:sz w:val="32"/>
          <w:lang w:val="en-US" w:eastAsia="zh-CN"/>
        </w:rPr>
        <w:t>本单位不涉及此项资金</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（二）公共安全（类）</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公共安全类决算数为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万元，与年初预算相比增加</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1．公安（款）行政运行（项）。年初预算</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%。决算数与年初预算数的差异原因：</w:t>
      </w:r>
      <w:r>
        <w:rPr>
          <w:rFonts w:hint="eastAsia" w:ascii="仿宋_GB2312" w:hAnsi="仿宋_GB2312" w:eastAsia="仿宋_GB2312"/>
          <w:color w:val="auto"/>
          <w:kern w:val="2"/>
          <w:sz w:val="32"/>
          <w:lang w:val="en-US" w:eastAsia="zh-CN"/>
        </w:rPr>
        <w:t>本单位不涉及此项资金</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（三）社会保障和就业支出（类）</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社会保障和就业支出类决算数为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194.91</w:t>
      </w:r>
      <w:r>
        <w:rPr>
          <w:rFonts w:ascii="fang_song_gb2312" w:hAnsi="fang_song_gb2312" w:eastAsia="fang_song_gb2312" w:cs="fang_song_gb2312"/>
          <w:kern w:val="0"/>
          <w:sz w:val="27"/>
          <w:szCs w:val="27"/>
        </w:rPr>
        <w:t>万元，与年初预算相比增加</w:t>
      </w:r>
      <w:r>
        <w:rPr>
          <w:rFonts w:hint="eastAsia" w:ascii="times_new_roman" w:hAnsi="times_new_roman" w:cs="times_new_roman"/>
          <w:kern w:val="0"/>
          <w:sz w:val="27"/>
          <w:szCs w:val="27"/>
          <w:u w:val="single"/>
          <w:lang w:val="en-US" w:eastAsia="zh-CN"/>
        </w:rPr>
        <w:t>10.89</w:t>
      </w:r>
      <w:r>
        <w:rPr>
          <w:rFonts w:ascii="fang_song_gb2312" w:hAnsi="fang_song_gb2312" w:eastAsia="fang_song_gb2312" w:cs="fang_song_gb2312"/>
          <w:kern w:val="0"/>
          <w:sz w:val="27"/>
          <w:szCs w:val="27"/>
        </w:rPr>
        <w:t>万元。其中：</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行政事业单位养老支出（款）行政单位离退休（项）。年初预算</w:t>
      </w:r>
      <w:r>
        <w:rPr>
          <w:rFonts w:hint="eastAsia" w:ascii="times_new_roman" w:hAnsi="times_new_roman" w:cs="times_new_roman"/>
          <w:kern w:val="0"/>
          <w:sz w:val="27"/>
          <w:szCs w:val="27"/>
          <w:u w:val="single"/>
          <w:lang w:val="en-US" w:eastAsia="zh-CN"/>
        </w:rPr>
        <w:t>17.48</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15.81</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90.4</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eastAsia="zh-CN"/>
        </w:rPr>
        <w:t>人员变动，有人员调出</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（四）卫生健康支出（类）</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卫生健康支出类决算数为</w:t>
      </w:r>
      <w:r>
        <w:rPr>
          <w:rFonts w:ascii="times_new_roman" w:hAnsi="times_new_roman" w:eastAsia="times_new_roman" w:cs="times_new_roman"/>
          <w:kern w:val="0"/>
          <w:sz w:val="27"/>
          <w:szCs w:val="27"/>
          <w:u w:val="single"/>
        </w:rPr>
        <w:t xml:space="preserve"> 10.</w:t>
      </w:r>
      <w:r>
        <w:rPr>
          <w:rFonts w:hint="eastAsia" w:ascii="times_new_roman" w:hAnsi="times_new_roman" w:cs="times_new_roman"/>
          <w:kern w:val="0"/>
          <w:sz w:val="27"/>
          <w:szCs w:val="27"/>
          <w:u w:val="single"/>
          <w:lang w:val="en-US" w:eastAsia="zh-CN"/>
        </w:rPr>
        <w:t>69</w:t>
      </w:r>
      <w:r>
        <w:rPr>
          <w:rFonts w:ascii="fang_song_gb2312" w:hAnsi="fang_song_gb2312" w:eastAsia="fang_song_gb2312" w:cs="fang_song_gb2312"/>
          <w:kern w:val="0"/>
          <w:sz w:val="27"/>
          <w:szCs w:val="27"/>
        </w:rPr>
        <w:t>万元，与年初预算相比</w:t>
      </w:r>
      <w:r>
        <w:rPr>
          <w:rFonts w:hint="eastAsia" w:ascii="fang_song_gb2312" w:hAnsi="fang_song_gb2312" w:cs="fang_song_gb2312"/>
          <w:kern w:val="0"/>
          <w:sz w:val="27"/>
          <w:szCs w:val="27"/>
          <w:lang w:eastAsia="zh-CN"/>
        </w:rPr>
        <w:t>减少</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0.59</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1</w:t>
      </w:r>
      <w:r>
        <w:rPr>
          <w:rFonts w:ascii="times_new_roman" w:hAnsi="times_new_roman" w:eastAsia="times_new_roman" w:cs="times_new_roman"/>
          <w:kern w:val="0"/>
          <w:sz w:val="27"/>
          <w:szCs w:val="27"/>
        </w:rPr>
        <w:t>．</w:t>
      </w:r>
      <w:r>
        <w:rPr>
          <w:rFonts w:ascii="fang_song_gb2312" w:hAnsi="fang_song_gb2312" w:eastAsia="fang_song_gb2312" w:cs="fang_song_gb2312"/>
          <w:kern w:val="0"/>
          <w:sz w:val="27"/>
          <w:szCs w:val="27"/>
        </w:rPr>
        <w:t>行政事业单位医疗（款）事业单位医疗（项）。年初预算</w:t>
      </w:r>
      <w:r>
        <w:rPr>
          <w:rFonts w:hint="eastAsia" w:ascii="times_new_roman" w:hAnsi="times_new_roman" w:cs="times_new_roman"/>
          <w:kern w:val="0"/>
          <w:sz w:val="27"/>
          <w:szCs w:val="27"/>
          <w:u w:val="single"/>
          <w:lang w:val="en-US" w:eastAsia="zh-CN"/>
        </w:rPr>
        <w:t>8.51</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10.69</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125.6</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eastAsia="zh-CN"/>
        </w:rPr>
        <w:t>人员变动，相应人员工资及医疗保险增长</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（五）住房保障支出（类）</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住房保障支出类决算数为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15.93</w:t>
      </w:r>
      <w:r>
        <w:rPr>
          <w:rFonts w:ascii="fang_song_gb2312" w:hAnsi="fang_song_gb2312" w:eastAsia="fang_song_gb2312" w:cs="fang_song_gb2312"/>
          <w:kern w:val="0"/>
          <w:sz w:val="27"/>
          <w:szCs w:val="27"/>
        </w:rPr>
        <w:t>万元，与年初预算相比</w:t>
      </w:r>
      <w:r>
        <w:rPr>
          <w:rFonts w:hint="eastAsia" w:ascii="fang_song_gb2312" w:hAnsi="fang_song_gb2312" w:cs="fang_song_gb2312"/>
          <w:kern w:val="0"/>
          <w:sz w:val="27"/>
          <w:szCs w:val="27"/>
          <w:lang w:eastAsia="zh-CN"/>
        </w:rPr>
        <w:t>减少</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0.92</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住房改革支出（款）住房公积金（项）。年初预算</w:t>
      </w:r>
      <w:r>
        <w:rPr>
          <w:rFonts w:hint="eastAsia" w:ascii="times_new_roman" w:hAnsi="times_new_roman" w:cs="times_new_roman"/>
          <w:kern w:val="0"/>
          <w:sz w:val="27"/>
          <w:szCs w:val="27"/>
          <w:u w:val="single"/>
          <w:lang w:val="en-US" w:eastAsia="zh-CN"/>
        </w:rPr>
        <w:t>16.85</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15.93</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94.54</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eastAsia="zh-CN"/>
        </w:rPr>
        <w:t>人员变动，相应人员工资及住房公积金变化</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六、一般公共预算财政拨款基本支出决算情况说明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内蒙古自治区巴彦淖尔市退役军人服务中心 202</w:t>
      </w:r>
      <w:r>
        <w:rPr>
          <w:rFonts w:hint="eastAsia" w:ascii="fang_song_gb2312" w:hAnsi="fang_song_gb2312" w:cs="fang_song_gb2312"/>
          <w:kern w:val="0"/>
          <w:sz w:val="27"/>
          <w:szCs w:val="27"/>
          <w:lang w:val="en-US" w:eastAsia="zh-CN"/>
        </w:rPr>
        <w:t>4</w:t>
      </w:r>
      <w:r>
        <w:rPr>
          <w:rFonts w:ascii="fang_song_gb2312" w:hAnsi="fang_song_gb2312" w:eastAsia="fang_song_gb2312" w:cs="fang_song_gb2312"/>
          <w:kern w:val="0"/>
          <w:sz w:val="27"/>
          <w:szCs w:val="27"/>
        </w:rPr>
        <w:t>年度一般公共预算财政拨款基本支出决算</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212.52</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（一）人员经费</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197.29</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基本工资、津贴补贴、奖金、社会保障缴费、伙食补助费、绩效工资、其他工资福利支出、离休费、退休费、抚恤金、生活补助、医疗费、奖励金、住房公积金、提租补贴、其他对个人和家庭的补助支出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（二）公用经费</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15.23</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等。</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七、一般公共预算财政拨款项目支出决算情况说明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年度一般公共预算财政拨款项目支出决算</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29</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（一）工资福利支出</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基本工资、津贴补贴、奖金、伙食补助费、绩效工资、机关事业单位基本养老保险缴费、职业年金缴费、职工基本医疗保险缴费、公务员医疗补助缴费、其他社会保障缴费、住房公积金、医疗费、其他工资福利支出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（二）商品和服务支出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29</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widowControl/>
        <w:spacing w:before="240" w:after="240"/>
        <w:rPr>
          <w:rFonts w:hint="eastAsia" w:ascii="fang_song_gb2312" w:hAnsi="fang_song_gb2312" w:eastAsia="宋体" w:cs="fang_song_gb2312"/>
          <w:b/>
          <w:bCs/>
          <w:kern w:val="0"/>
          <w:sz w:val="27"/>
          <w:szCs w:val="27"/>
          <w:lang w:eastAsia="zh-CN"/>
        </w:rPr>
      </w:pPr>
      <w:r>
        <w:rPr>
          <w:rFonts w:ascii="fang_song_gb2312" w:hAnsi="fang_song_gb2312" w:eastAsia="fang_song_gb2312" w:cs="fang_song_gb2312"/>
          <w:kern w:val="0"/>
          <w:sz w:val="27"/>
          <w:szCs w:val="27"/>
        </w:rPr>
        <w:t xml:space="preserve">    </w:t>
      </w:r>
      <w:r>
        <w:rPr>
          <w:rFonts w:hint="eastAsia" w:ascii="fang_song_gb2312" w:hAnsi="fang_song_gb2312" w:eastAsia="fang_song_gb2312" w:cs="fang_song_gb2312"/>
          <w:b/>
          <w:bCs/>
          <w:kern w:val="0"/>
          <w:sz w:val="27"/>
          <w:szCs w:val="27"/>
          <w:lang w:eastAsia="zh-CN"/>
        </w:rPr>
        <w:t>（三）资本性</w:t>
      </w:r>
      <w:r>
        <w:rPr>
          <w:rFonts w:ascii="fang_song_gb2312" w:hAnsi="fang_song_gb2312" w:eastAsia="fang_song_gb2312" w:cs="fang_song_gb2312"/>
          <w:b/>
          <w:bCs/>
          <w:kern w:val="0"/>
          <w:sz w:val="27"/>
          <w:szCs w:val="27"/>
        </w:rPr>
        <w:t>支出</w:t>
      </w:r>
      <w:r>
        <w:rPr>
          <w:rFonts w:ascii="fang_song_gb2312" w:hAnsi="fang_song_gb2312" w:eastAsia="fang_song_gb2312" w:cs="fang_song_gb2312"/>
          <w:b/>
          <w:bCs/>
          <w:kern w:val="0"/>
          <w:sz w:val="27"/>
          <w:szCs w:val="27"/>
          <w:u w:val="single"/>
        </w:rPr>
        <w:t xml:space="preserve"> </w:t>
      </w:r>
      <w:r>
        <w:rPr>
          <w:rFonts w:hint="eastAsia" w:ascii="fang_song_gb2312" w:hAnsi="fang_song_gb2312" w:eastAsia="fang_song_gb2312" w:cs="fang_song_gb2312"/>
          <w:b/>
          <w:bCs/>
          <w:kern w:val="0"/>
          <w:sz w:val="27"/>
          <w:szCs w:val="27"/>
          <w:u w:val="single"/>
          <w:lang w:val="en-US" w:eastAsia="zh-CN"/>
        </w:rPr>
        <w:t>0</w:t>
      </w:r>
      <w:r>
        <w:rPr>
          <w:rFonts w:ascii="fang_song_gb2312" w:hAnsi="fang_song_gb2312" w:eastAsia="fang_song_gb2312" w:cs="fang_song_gb2312"/>
          <w:b/>
          <w:bCs/>
          <w:kern w:val="0"/>
          <w:sz w:val="27"/>
          <w:szCs w:val="27"/>
        </w:rPr>
        <w:t>万元。</w:t>
      </w:r>
      <w:r>
        <w:rPr>
          <w:rFonts w:hint="eastAsia" w:ascii="fang_song_gb2312" w:hAnsi="fang_song_gb2312" w:eastAsia="fang_song_gb2312" w:cs="fang_song_gb2312"/>
          <w:kern w:val="0"/>
          <w:sz w:val="27"/>
          <w:szCs w:val="27"/>
          <w:lang w:eastAsia="zh-CN"/>
        </w:rPr>
        <w:t>主要包括：房屋建筑物构建、办公设备购置、专用设备购置等。</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八、财政拨款“三公”经费支出决算情况说明</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（一）财政拨款“三公”经费支出总体情况说明。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年度财政拨款“三公”经费全年预算</w:t>
      </w:r>
      <w:r>
        <w:rPr>
          <w:rFonts w:ascii="times_new_roman" w:hAnsi="times_new_roman" w:eastAsia="times_new_roman" w:cs="times_new_roman"/>
          <w:kern w:val="0"/>
          <w:sz w:val="27"/>
          <w:szCs w:val="27"/>
          <w:u w:val="single"/>
        </w:rPr>
        <w:t xml:space="preserve"> 1.5</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1.4</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93</w:t>
      </w:r>
      <w:r>
        <w:rPr>
          <w:rFonts w:ascii="fang_song_gb2312" w:hAnsi="fang_song_gb2312" w:eastAsia="fang_song_gb2312" w:cs="fang_song_gb2312"/>
          <w:kern w:val="0"/>
          <w:sz w:val="27"/>
          <w:szCs w:val="27"/>
        </w:rPr>
        <w:t>%。其中：因公出国（境）费全年预算</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%；公务用车购置及运行维护费全年预算</w:t>
      </w:r>
      <w:r>
        <w:rPr>
          <w:rFonts w:ascii="times_new_roman" w:hAnsi="times_new_roman" w:eastAsia="times_new_roman" w:cs="times_new_roman"/>
          <w:kern w:val="0"/>
          <w:sz w:val="27"/>
          <w:szCs w:val="27"/>
          <w:u w:val="single"/>
        </w:rPr>
        <w:t xml:space="preserve"> 1.5</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1</w:t>
      </w:r>
      <w:r>
        <w:rPr>
          <w:rFonts w:hint="eastAsia" w:ascii="times_new_roman" w:hAnsi="times_new_roman" w:cs="times_new_roman"/>
          <w:kern w:val="0"/>
          <w:sz w:val="27"/>
          <w:szCs w:val="27"/>
          <w:u w:val="single"/>
          <w:lang w:val="en-US" w:eastAsia="zh-CN"/>
        </w:rPr>
        <w:t>.4</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93</w:t>
      </w:r>
      <w:r>
        <w:rPr>
          <w:rFonts w:ascii="fang_song_gb2312" w:hAnsi="fang_song_gb2312" w:eastAsia="fang_song_gb2312" w:cs="fang_song_gb2312"/>
          <w:kern w:val="0"/>
          <w:sz w:val="27"/>
          <w:szCs w:val="27"/>
        </w:rPr>
        <w:t>%；公务接待费全年预算</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%。202</w:t>
      </w:r>
      <w:r>
        <w:rPr>
          <w:rFonts w:hint="eastAsia" w:ascii="fang_song_gb2312" w:hAnsi="fang_song_gb2312" w:cs="fang_song_gb2312"/>
          <w:kern w:val="0"/>
          <w:sz w:val="27"/>
          <w:szCs w:val="27"/>
          <w:lang w:val="en-US" w:eastAsia="zh-CN"/>
        </w:rPr>
        <w:t>4</w:t>
      </w:r>
      <w:r>
        <w:rPr>
          <w:rFonts w:ascii="fang_song_gb2312" w:hAnsi="fang_song_gb2312" w:eastAsia="fang_song_gb2312" w:cs="fang_song_gb2312"/>
          <w:kern w:val="0"/>
          <w:sz w:val="27"/>
          <w:szCs w:val="27"/>
        </w:rPr>
        <w:t>年度一般公共预算财政拨款“三公”经费支出决算与预算差异原因</w:t>
      </w:r>
      <w:r>
        <w:rPr>
          <w:rFonts w:hint="eastAsia" w:ascii="fang_song_gb2312" w:hAnsi="fang_song_gb2312" w:cs="fang_song_gb2312"/>
          <w:kern w:val="0"/>
          <w:sz w:val="27"/>
          <w:szCs w:val="27"/>
          <w:lang w:eastAsia="zh-CN"/>
        </w:rPr>
        <w:t>燃油费用有所减低</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（二）财政拨款“三公”经费支出具体情况说明。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年度财政拨款“三公”经费支出</w:t>
      </w:r>
      <w:r>
        <w:rPr>
          <w:rFonts w:ascii="times_new_roman" w:hAnsi="times_new_roman" w:eastAsia="times_new_roman" w:cs="times_new_roman"/>
          <w:kern w:val="0"/>
          <w:sz w:val="27"/>
          <w:szCs w:val="27"/>
          <w:u w:val="single"/>
        </w:rPr>
        <w:t xml:space="preserve"> 1.5</w:t>
      </w:r>
      <w:r>
        <w:rPr>
          <w:rFonts w:ascii="fang_song_gb2312" w:hAnsi="fang_song_gb2312" w:eastAsia="fang_song_gb2312" w:cs="fang_song_gb2312"/>
          <w:kern w:val="0"/>
          <w:sz w:val="27"/>
          <w:szCs w:val="27"/>
        </w:rPr>
        <w:t>万元。因公出国（境）费支出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%；公务用车购置及运行维护费支出</w:t>
      </w:r>
      <w:r>
        <w:rPr>
          <w:rFonts w:ascii="times_new_roman" w:hAnsi="times_new_roman" w:eastAsia="times_new_roman" w:cs="times_new_roman"/>
          <w:kern w:val="0"/>
          <w:sz w:val="27"/>
          <w:szCs w:val="27"/>
          <w:u w:val="single"/>
        </w:rPr>
        <w:t xml:space="preserve"> 1.5</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100</w:t>
      </w:r>
      <w:r>
        <w:rPr>
          <w:rFonts w:ascii="fang_song_gb2312" w:hAnsi="fang_song_gb2312" w:eastAsia="fang_song_gb2312" w:cs="fang_song_gb2312"/>
          <w:kern w:val="0"/>
          <w:sz w:val="27"/>
          <w:szCs w:val="27"/>
        </w:rPr>
        <w:t>%；公务接待费支出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因公出国（境）费支出</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万元，全年出国（境）团组</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个，累计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eastAsia="zh-CN"/>
        </w:rPr>
        <w:t>不存在此项内容</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2.</w:t>
      </w:r>
      <w:r>
        <w:rPr>
          <w:rFonts w:ascii="fang_song_gb2312" w:hAnsi="fang_song_gb2312" w:eastAsia="fang_song_gb2312" w:cs="fang_song_gb2312"/>
          <w:kern w:val="0"/>
          <w:sz w:val="27"/>
          <w:szCs w:val="27"/>
        </w:rPr>
        <w:t>公务用车购置及运行维护费支出</w:t>
      </w:r>
      <w:r>
        <w:rPr>
          <w:rFonts w:ascii="times_new_roman" w:hAnsi="times_new_roman" w:eastAsia="times_new_roman" w:cs="times_new_roman"/>
          <w:kern w:val="0"/>
          <w:sz w:val="27"/>
          <w:szCs w:val="27"/>
          <w:u w:val="single"/>
        </w:rPr>
        <w:t xml:space="preserve"> 1.5</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（1）公务用车购置支出</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万元。本年度使用财政拨款购置公务用车</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辆，开支内容：</w:t>
      </w:r>
      <w:r>
        <w:rPr>
          <w:rFonts w:hint="eastAsia" w:ascii="fang_song_gb2312" w:hAnsi="fang_song_gb2312" w:cs="fang_song_gb2312"/>
          <w:kern w:val="0"/>
          <w:sz w:val="27"/>
          <w:szCs w:val="27"/>
          <w:lang w:eastAsia="zh-CN"/>
        </w:rPr>
        <w:t>不存在此项内容</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eastAsia="zh-CN"/>
        </w:rPr>
        <w:t>不存在此项内容</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（2）公务用车运行维护费支出</w:t>
      </w:r>
      <w:r>
        <w:rPr>
          <w:rFonts w:ascii="times_new_roman" w:hAnsi="times_new_roman" w:eastAsia="times_new_roman" w:cs="times_new_roman"/>
          <w:kern w:val="0"/>
          <w:sz w:val="27"/>
          <w:szCs w:val="27"/>
          <w:u w:val="single"/>
        </w:rPr>
        <w:t xml:space="preserve"> 1.5</w:t>
      </w:r>
      <w:r>
        <w:rPr>
          <w:rFonts w:ascii="fang_song_gb2312" w:hAnsi="fang_song_gb2312" w:eastAsia="fang_song_gb2312" w:cs="fang_song_gb2312"/>
          <w:kern w:val="0"/>
          <w:sz w:val="27"/>
          <w:szCs w:val="27"/>
        </w:rPr>
        <w:t>万元。公务用车运行维护费主要用于按规定保留的公务用车的燃料费、维修费、过桥过路费、保险费、安全奖励费用等支出。截至</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w:t>
      </w:r>
      <w:r>
        <w:rPr>
          <w:rFonts w:ascii="times_new_roman" w:hAnsi="times_new_roman" w:eastAsia="times_new_roman" w:cs="times_new_roman"/>
          <w:kern w:val="0"/>
          <w:sz w:val="27"/>
          <w:szCs w:val="27"/>
        </w:rPr>
        <w:t>12</w:t>
      </w:r>
      <w:r>
        <w:rPr>
          <w:rFonts w:ascii="fang_song_gb2312" w:hAnsi="fang_song_gb2312" w:eastAsia="fang_song_gb2312" w:cs="fang_song_gb2312"/>
          <w:kern w:val="0"/>
          <w:sz w:val="27"/>
          <w:szCs w:val="27"/>
        </w:rPr>
        <w:t>月</w:t>
      </w:r>
      <w:r>
        <w:rPr>
          <w:rFonts w:ascii="times_new_roman" w:hAnsi="times_new_roman" w:eastAsia="times_new_roman" w:cs="times_new_roman"/>
          <w:kern w:val="0"/>
          <w:sz w:val="27"/>
          <w:szCs w:val="27"/>
        </w:rPr>
        <w:t>31</w:t>
      </w:r>
      <w:r>
        <w:rPr>
          <w:rFonts w:ascii="fang_song_gb2312" w:hAnsi="fang_song_gb2312" w:eastAsia="fang_song_gb2312" w:cs="fang_song_gb2312"/>
          <w:kern w:val="0"/>
          <w:sz w:val="27"/>
          <w:szCs w:val="27"/>
        </w:rPr>
        <w:t>日，使用财政拨款开支的公务用车保有量为</w:t>
      </w:r>
      <w:r>
        <w:rPr>
          <w:rFonts w:ascii="times_new_roman" w:hAnsi="times_new_roman" w:eastAsia="times_new_roman" w:cs="times_new_roman"/>
          <w:kern w:val="0"/>
          <w:sz w:val="27"/>
          <w:szCs w:val="27"/>
          <w:u w:val="single"/>
        </w:rPr>
        <w:t xml:space="preserve">1 </w:t>
      </w:r>
      <w:r>
        <w:rPr>
          <w:rFonts w:ascii="fang_song_gb2312" w:hAnsi="fang_song_gb2312" w:eastAsia="fang_song_gb2312" w:cs="fang_song_gb2312"/>
          <w:kern w:val="0"/>
          <w:sz w:val="27"/>
          <w:szCs w:val="27"/>
        </w:rPr>
        <w:t>辆。与上年决算相比，增加</w:t>
      </w:r>
      <w:r>
        <w:rPr>
          <w:rFonts w:ascii="fang_song_gb2312" w:hAnsi="fang_song_gb2312" w:eastAsia="fang_song_gb2312" w:cs="fang_song_gb2312"/>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eastAsia="zh-CN"/>
        </w:rPr>
        <w:t>无</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3.公务接待费支出</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万元。其中：国内公务接待支出</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万元，接待</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批次，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人次，开支内容：</w:t>
      </w:r>
      <w:r>
        <w:rPr>
          <w:rFonts w:hint="eastAsia" w:ascii="fang_song_gb2312" w:hAnsi="fang_song_gb2312" w:cs="fang_song_gb2312"/>
          <w:kern w:val="0"/>
          <w:sz w:val="27"/>
          <w:szCs w:val="27"/>
          <w:lang w:eastAsia="zh-CN"/>
        </w:rPr>
        <w:t>不存在此项内容</w:t>
      </w:r>
      <w:r>
        <w:rPr>
          <w:rFonts w:ascii="fang_song_gb2312" w:hAnsi="fang_song_gb2312" w:eastAsia="fang_song_gb2312" w:cs="fang_song_gb2312"/>
          <w:kern w:val="0"/>
          <w:sz w:val="27"/>
          <w:szCs w:val="27"/>
        </w:rPr>
        <w:t>；国（境）外公务接待支出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万元，接待</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批次，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人次，开支内容：</w:t>
      </w:r>
      <w:r>
        <w:rPr>
          <w:rFonts w:hint="eastAsia" w:ascii="fang_song_gb2312" w:hAnsi="fang_song_gb2312" w:cs="fang_song_gb2312"/>
          <w:kern w:val="0"/>
          <w:sz w:val="27"/>
          <w:szCs w:val="27"/>
          <w:lang w:eastAsia="zh-CN"/>
        </w:rPr>
        <w:t>不存在此项内容</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万元，增长</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eastAsia="zh-CN"/>
        </w:rPr>
        <w:t>不存在此项内容</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九、政府性基金预算财政拨款支出决算情况说明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kern w:val="0"/>
          <w:sz w:val="27"/>
          <w:szCs w:val="27"/>
        </w:rPr>
        <w:t xml:space="preserve">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年度政府性基金预算财政拨款支出决算</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万元。与上年决算相比，增加</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万元，增长</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eastAsia="zh-CN"/>
        </w:rPr>
        <w:t>本单位无政府性基金预算财政拨款收、支、余</w:t>
      </w:r>
      <w:r>
        <w:rPr>
          <w:rFonts w:ascii="fang_song_gb2312" w:hAnsi="fang_song_gb2312" w:eastAsia="fang_song_gb2312" w:cs="fang_song_gb2312"/>
          <w:kern w:val="0"/>
          <w:sz w:val="27"/>
          <w:szCs w:val="27"/>
        </w:rPr>
        <w:t>。</w:t>
      </w:r>
      <w:r>
        <w:rPr>
          <w:rFonts w:ascii="fang_song_gb2312" w:hAnsi="fang_song_gb2312" w:eastAsia="fang_song_gb2312" w:cs="fang_song_gb2312"/>
          <w:color w:val="0E00FE"/>
          <w:kern w:val="0"/>
          <w:sz w:val="27"/>
          <w:szCs w:val="27"/>
        </w:rPr>
        <w:t>   </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十、国有资本经营预算财政拨款支出决算情况说明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xml:space="preserve">    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年度国有资本经营预算财政拨款支出决算</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eastAsia="zh-CN"/>
        </w:rPr>
        <w:t>本单位无</w:t>
      </w:r>
      <w:r>
        <w:rPr>
          <w:rFonts w:ascii="fang_song_gb2312" w:hAnsi="fang_song_gb2312" w:eastAsia="fang_song_gb2312" w:cs="fang_song_gb2312"/>
          <w:kern w:val="0"/>
          <w:sz w:val="27"/>
          <w:szCs w:val="27"/>
        </w:rPr>
        <w:t>国有资本经营预算财政拨款</w:t>
      </w:r>
      <w:r>
        <w:rPr>
          <w:rFonts w:hint="eastAsia" w:ascii="fang_song_gb2312" w:hAnsi="fang_song_gb2312" w:cs="fang_song_gb2312"/>
          <w:kern w:val="0"/>
          <w:sz w:val="27"/>
          <w:szCs w:val="27"/>
          <w:lang w:eastAsia="zh-CN"/>
        </w:rPr>
        <w:t>收、支、余</w:t>
      </w:r>
      <w:r>
        <w:rPr>
          <w:rFonts w:ascii="fang_song_gb2312" w:hAnsi="fang_song_gb2312" w:eastAsia="fang_song_gb2312" w:cs="fang_song_gb2312"/>
          <w:kern w:val="0"/>
          <w:sz w:val="27"/>
          <w:szCs w:val="27"/>
        </w:rPr>
        <w:t>。其中：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（一）国有资本经营预算支出（类）解决历史遗留问题及改革成本支出（款）“三供一业”移交补助支出（项）支出</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万元，主要用于</w:t>
      </w:r>
      <w:r>
        <w:rPr>
          <w:rFonts w:hint="eastAsia" w:ascii="fang_song_gb2312" w:hAnsi="fang_song_gb2312" w:cs="fang_song_gb2312"/>
          <w:kern w:val="0"/>
          <w:sz w:val="27"/>
          <w:szCs w:val="27"/>
          <w:lang w:eastAsia="zh-CN"/>
        </w:rPr>
        <w:t>本单位</w:t>
      </w:r>
      <w:r>
        <w:rPr>
          <w:rFonts w:ascii="fang_song_gb2312" w:hAnsi="fang_song_gb2312" w:eastAsia="fang_song_gb2312" w:cs="fang_song_gb2312"/>
          <w:kern w:val="0"/>
          <w:sz w:val="27"/>
          <w:szCs w:val="27"/>
        </w:rPr>
        <w:t>国有资本经营预算财政拨款</w:t>
      </w:r>
      <w:r>
        <w:rPr>
          <w:rFonts w:hint="eastAsia" w:ascii="fang_song_gb2312" w:hAnsi="fang_song_gb2312" w:cs="fang_song_gb2312"/>
          <w:kern w:val="0"/>
          <w:sz w:val="27"/>
          <w:szCs w:val="27"/>
          <w:lang w:eastAsia="zh-CN"/>
        </w:rPr>
        <w:t>收、支、余</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十一、机</w:t>
      </w:r>
      <w:r>
        <w:rPr>
          <w:rFonts w:hint="eastAsia" w:ascii="黑体" w:hAnsi="黑体" w:eastAsia="黑体" w:cs="黑体"/>
          <w:b/>
          <w:bCs/>
          <w:kern w:val="0"/>
          <w:sz w:val="27"/>
          <w:szCs w:val="27"/>
          <w:lang w:eastAsia="zh-CN"/>
        </w:rPr>
        <w:t>关</w:t>
      </w:r>
      <w:r>
        <w:rPr>
          <w:rFonts w:ascii="黑体" w:hAnsi="黑体" w:eastAsia="黑体" w:cs="黑体"/>
          <w:b/>
          <w:bCs/>
          <w:kern w:val="0"/>
          <w:sz w:val="27"/>
          <w:szCs w:val="27"/>
        </w:rPr>
        <w:t>运行经费支出决算情况说明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年度机构运行经费支出决算</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万元。比上年决算相比，</w:t>
      </w:r>
      <w:r>
        <w:rPr>
          <w:rFonts w:hint="eastAsia" w:ascii="fang_song_gb2312" w:hAnsi="fang_song_gb2312" w:cs="fang_song_gb2312"/>
          <w:kern w:val="0"/>
          <w:sz w:val="27"/>
          <w:szCs w:val="27"/>
          <w:lang w:eastAsia="zh-CN"/>
        </w:rPr>
        <w:t>减少</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w:t>
      </w:r>
      <w:r>
        <w:rPr>
          <w:rFonts w:hint="eastAsia" w:ascii="fang_song_gb2312" w:hAnsi="fang_song_gb2312" w:cs="fang_song_gb2312"/>
          <w:kern w:val="0"/>
          <w:sz w:val="27"/>
          <w:szCs w:val="27"/>
          <w:lang w:eastAsia="zh-CN"/>
        </w:rPr>
        <w:t>减少</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bookmarkStart w:id="1" w:name="_GoBack"/>
      <w:bookmarkEnd w:id="1"/>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eastAsia="zh-CN"/>
        </w:rPr>
        <w:t>无机关运行经费</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十二、政府采购支出决算情况说明</w:t>
      </w:r>
    </w:p>
    <w:p>
      <w:pPr>
        <w:widowControl/>
        <w:spacing w:before="240" w:after="240"/>
        <w:ind w:firstLine="532"/>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年度政府采购支出总额</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2.76</w:t>
      </w:r>
      <w:r>
        <w:rPr>
          <w:rFonts w:ascii="fang_song_gb2312" w:hAnsi="fang_song_gb2312" w:eastAsia="fang_song_gb2312" w:cs="fang_song_gb2312"/>
          <w:kern w:val="0"/>
          <w:sz w:val="27"/>
          <w:szCs w:val="27"/>
        </w:rPr>
        <w:t>万元，其中：政府采购货物支出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万元、政府采购工程支出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万元、政府采购服务支出</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2.76</w:t>
      </w:r>
      <w:r>
        <w:rPr>
          <w:rFonts w:ascii="fang_song_gb2312" w:hAnsi="fang_song_gb2312" w:eastAsia="fang_song_gb2312" w:cs="fang_song_gb2312"/>
          <w:kern w:val="0"/>
          <w:sz w:val="27"/>
          <w:szCs w:val="27"/>
        </w:rPr>
        <w:t>万元。政府采购授予中小企业合同金额</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万元，占政府采购支出总额的</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%，其中：授予小微企业合同金额</w:t>
      </w:r>
      <w:r>
        <w:rPr>
          <w:rFonts w:ascii="times_new_roman" w:hAnsi="times_new_roman" w:eastAsia="times_new_roman" w:cs="times_new_roman"/>
          <w:kern w:val="0"/>
          <w:sz w:val="27"/>
          <w:szCs w:val="27"/>
          <w:u w:val="single"/>
        </w:rPr>
        <w:t>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万元，占政府采购支出总额的</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十三、国有资产占用情况说明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内蒙古自治区巴彦淖尔市退役军人服务中心 截至</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w:t>
      </w:r>
      <w:r>
        <w:rPr>
          <w:rFonts w:ascii="times_new_roman" w:hAnsi="times_new_roman" w:eastAsia="times_new_roman" w:cs="times_new_roman"/>
          <w:kern w:val="0"/>
          <w:sz w:val="27"/>
          <w:szCs w:val="27"/>
        </w:rPr>
        <w:t>12</w:t>
      </w:r>
      <w:r>
        <w:rPr>
          <w:rFonts w:ascii="fang_song_gb2312" w:hAnsi="fang_song_gb2312" w:eastAsia="fang_song_gb2312" w:cs="fang_song_gb2312"/>
          <w:kern w:val="0"/>
          <w:sz w:val="27"/>
          <w:szCs w:val="27"/>
        </w:rPr>
        <w:t>月</w:t>
      </w:r>
      <w:r>
        <w:rPr>
          <w:rFonts w:ascii="times_new_roman" w:hAnsi="times_new_roman" w:eastAsia="times_new_roman" w:cs="times_new_roman"/>
          <w:kern w:val="0"/>
          <w:sz w:val="27"/>
          <w:szCs w:val="27"/>
        </w:rPr>
        <w:t>31</w:t>
      </w:r>
      <w:r>
        <w:rPr>
          <w:rFonts w:ascii="fang_song_gb2312" w:hAnsi="fang_song_gb2312" w:eastAsia="fang_song_gb2312" w:cs="fang_song_gb2312"/>
          <w:kern w:val="0"/>
          <w:sz w:val="27"/>
          <w:szCs w:val="27"/>
        </w:rPr>
        <w:t>日，本部门（单位）共有车辆</w:t>
      </w:r>
      <w:r>
        <w:rPr>
          <w:rFonts w:ascii="times_new_roman" w:hAnsi="times_new_roman" w:eastAsia="times_new_roman" w:cs="times_new_roman"/>
          <w:kern w:val="0"/>
          <w:sz w:val="27"/>
          <w:szCs w:val="27"/>
          <w:u w:val="single"/>
        </w:rPr>
        <w:t xml:space="preserve"> 1</w:t>
      </w:r>
      <w:r>
        <w:rPr>
          <w:rFonts w:ascii="fang_song_gb2312" w:hAnsi="fang_song_gb2312" w:eastAsia="fang_song_gb2312" w:cs="fang_song_gb2312"/>
          <w:kern w:val="0"/>
          <w:sz w:val="27"/>
          <w:szCs w:val="27"/>
        </w:rPr>
        <w:t>辆，其中：副部（省）级及以上领导用车</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辆、主要负责人用车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辆、机要通信用车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辆、应急保障用车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辆、执法执勤用车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辆、特种专业技术用车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辆、离退休干部服务用车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辆，其他用车</w:t>
      </w:r>
      <w:r>
        <w:rPr>
          <w:rFonts w:ascii="times_new_roman" w:hAnsi="times_new_roman" w:eastAsia="times_new_roman" w:cs="times_new_roman"/>
          <w:kern w:val="0"/>
          <w:sz w:val="27"/>
          <w:szCs w:val="27"/>
          <w:u w:val="single"/>
        </w:rPr>
        <w:t xml:space="preserve"> 1</w:t>
      </w:r>
      <w:r>
        <w:rPr>
          <w:rFonts w:ascii="fang_song_gb2312" w:hAnsi="fang_song_gb2312" w:eastAsia="fang_song_gb2312" w:cs="fang_song_gb2312"/>
          <w:kern w:val="0"/>
          <w:sz w:val="27"/>
          <w:szCs w:val="27"/>
        </w:rPr>
        <w:t>辆；单价100万元（含）以上的设备（不含车辆）</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台（套）。</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十四、预算绩效情况说明</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（一）预算绩效管理工作开展情况。</w:t>
      </w:r>
    </w:p>
    <w:p>
      <w:pPr>
        <w:widowControl/>
        <w:spacing w:before="240" w:after="240"/>
        <w:ind w:firstLine="535"/>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内蒙古自治区巴彦淖尔市退役军人服务中心 根据预算绩效管理要求组织对</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年一般公共预算项目支出全面开展绩效自评，其中一级项目</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个，二级项目</w:t>
      </w:r>
      <w:r>
        <w:rPr>
          <w:rFonts w:hint="eastAsia" w:ascii="times_new_roman" w:hAnsi="times_new_roman" w:cs="times_new_roman"/>
          <w:kern w:val="0"/>
          <w:sz w:val="27"/>
          <w:szCs w:val="27"/>
          <w:u w:val="single"/>
          <w:lang w:val="en-US" w:eastAsia="zh-CN"/>
        </w:rPr>
        <w:t>1</w:t>
      </w:r>
      <w:r>
        <w:rPr>
          <w:rFonts w:ascii="fang_song_gb2312" w:hAnsi="fang_song_gb2312" w:eastAsia="fang_song_gb2312" w:cs="fang_song_gb2312"/>
          <w:kern w:val="0"/>
          <w:sz w:val="27"/>
          <w:szCs w:val="27"/>
        </w:rPr>
        <w:t>个，共涉及资金</w:t>
      </w:r>
      <w:r>
        <w:rPr>
          <w:rFonts w:hint="eastAsia" w:ascii="times_new_roman" w:hAnsi="times_new_roman" w:cs="times_new_roman"/>
          <w:kern w:val="0"/>
          <w:sz w:val="27"/>
          <w:szCs w:val="27"/>
          <w:u w:val="single"/>
          <w:lang w:val="en-US" w:eastAsia="zh-CN"/>
        </w:rPr>
        <w:t>9</w:t>
      </w:r>
      <w:r>
        <w:rPr>
          <w:rFonts w:ascii="fang_song_gb2312" w:hAnsi="fang_song_gb2312" w:eastAsia="fang_song_gb2312" w:cs="fang_song_gb2312"/>
          <w:kern w:val="0"/>
          <w:sz w:val="27"/>
          <w:szCs w:val="27"/>
        </w:rPr>
        <w:t>万元，占一般公共预算项目支出总额的</w:t>
      </w:r>
      <w:r>
        <w:rPr>
          <w:rFonts w:ascii="times_new_roman" w:hAnsi="times_new_roman" w:eastAsia="times_new_roman" w:cs="times_new_roman"/>
          <w:kern w:val="0"/>
          <w:sz w:val="27"/>
          <w:szCs w:val="27"/>
        </w:rPr>
        <w:t>100</w:t>
      </w:r>
      <w:r>
        <w:rPr>
          <w:rFonts w:ascii="fang_song_gb2312" w:hAnsi="fang_song_gb2312" w:eastAsia="fang_song_gb2312" w:cs="fang_song_gb2312"/>
          <w:kern w:val="0"/>
          <w:sz w:val="27"/>
          <w:szCs w:val="27"/>
        </w:rPr>
        <w:t>%；政府性基金预算项目</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个，其中，一级项目</w:t>
      </w:r>
      <w:r>
        <w:rPr>
          <w:rFonts w:ascii="times_new_roman" w:hAnsi="times_new_roman" w:eastAsia="times_new_roman" w:cs="times_new_roman"/>
          <w:kern w:val="0"/>
          <w:sz w:val="27"/>
          <w:szCs w:val="27"/>
          <w:u w:val="single"/>
        </w:rPr>
        <w:t>  </w:t>
      </w:r>
      <w:r>
        <w:rPr>
          <w:rFonts w:hint="eastAsia" w:ascii="times_new_roman" w:hAnsi="times_new_roman" w:cs="times_new_roman"/>
          <w:kern w:val="0"/>
          <w:sz w:val="27"/>
          <w:szCs w:val="27"/>
          <w:u w:val="single"/>
          <w:lang w:val="en-US" w:eastAsia="zh-CN"/>
        </w:rPr>
        <w:t>0</w:t>
      </w:r>
      <w:r>
        <w:rPr>
          <w:rFonts w:ascii="times_new_roman" w:hAnsi="times_new_roman" w:eastAsia="times_new_roman" w:cs="times_new_roman"/>
          <w:kern w:val="0"/>
          <w:sz w:val="27"/>
          <w:szCs w:val="27"/>
          <w:u w:val="single"/>
        </w:rPr>
        <w:t>  </w:t>
      </w:r>
      <w:r>
        <w:rPr>
          <w:rFonts w:ascii="fang_song_gb2312" w:hAnsi="fang_song_gb2312" w:eastAsia="fang_song_gb2312" w:cs="fang_song_gb2312"/>
          <w:kern w:val="0"/>
          <w:sz w:val="27"/>
          <w:szCs w:val="27"/>
        </w:rPr>
        <w:t>个，二级项目</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个，共涉及资金</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万元，占应纳入绩效自评的政府性基金预算项目支出总额的</w:t>
      </w:r>
      <w:r>
        <w:rPr>
          <w:rFonts w:ascii="times_new_roman" w:hAnsi="times_new_roman" w:eastAsia="times_new_roman" w:cs="times_new_roman"/>
          <w:kern w:val="0"/>
          <w:sz w:val="27"/>
          <w:szCs w:val="27"/>
        </w:rPr>
        <w:t>100%</w:t>
      </w:r>
      <w:r>
        <w:rPr>
          <w:rFonts w:ascii="fang_song_gb2312" w:hAnsi="fang_song_gb2312" w:eastAsia="fang_song_gb2312" w:cs="fang_song_gb2312"/>
          <w:kern w:val="0"/>
          <w:sz w:val="27"/>
          <w:szCs w:val="27"/>
        </w:rPr>
        <w:t>；</w:t>
      </w:r>
    </w:p>
    <w:p>
      <w:pPr>
        <w:widowControl/>
        <w:spacing w:before="240" w:after="240"/>
        <w:ind w:firstLine="535"/>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组织对“</w:t>
      </w:r>
      <w:r>
        <w:rPr>
          <w:rFonts w:hint="eastAsia" w:ascii="fang_song_gb2312" w:hAnsi="fang_song_gb2312" w:cs="fang_song_gb2312"/>
          <w:kern w:val="0"/>
          <w:sz w:val="27"/>
          <w:szCs w:val="27"/>
          <w:lang w:eastAsia="zh-CN"/>
        </w:rPr>
        <w:t>专项业务费</w:t>
      </w:r>
      <w:r>
        <w:rPr>
          <w:rFonts w:ascii="fang_song_gb2312" w:hAnsi="fang_song_gb2312" w:eastAsia="fang_song_gb2312" w:cs="fang_song_gb2312"/>
          <w:kern w:val="0"/>
          <w:sz w:val="27"/>
          <w:szCs w:val="27"/>
        </w:rPr>
        <w:t>项目”</w:t>
      </w:r>
      <w:r>
        <w:rPr>
          <w:rFonts w:ascii="fang_song_gb2312" w:hAnsi="fang_song_gb2312" w:eastAsia="fang_song_gb2312" w:cs="fang_song_gb2312"/>
          <w:kern w:val="0"/>
          <w:sz w:val="27"/>
          <w:szCs w:val="27"/>
          <w:u w:val="single"/>
        </w:rPr>
        <w:t> </w:t>
      </w:r>
      <w:r>
        <w:rPr>
          <w:rFonts w:hint="eastAsia" w:ascii="fang_song_gb2312" w:hAnsi="fang_song_gb2312" w:cs="fang_song_gb2312"/>
          <w:kern w:val="0"/>
          <w:sz w:val="27"/>
          <w:szCs w:val="27"/>
          <w:u w:val="single"/>
          <w:lang w:val="en-US" w:eastAsia="zh-CN"/>
        </w:rPr>
        <w:t>1</w:t>
      </w:r>
      <w:r>
        <w:rPr>
          <w:rFonts w:ascii="fang_song_gb2312" w:hAnsi="fang_song_gb2312" w:eastAsia="fang_song_gb2312" w:cs="fang_song_gb2312"/>
          <w:kern w:val="0"/>
          <w:sz w:val="27"/>
          <w:szCs w:val="27"/>
          <w:u w:val="single"/>
        </w:rPr>
        <w:t> </w:t>
      </w:r>
      <w:r>
        <w:rPr>
          <w:rFonts w:ascii="fang_song_gb2312" w:hAnsi="fang_song_gb2312" w:eastAsia="fang_song_gb2312" w:cs="fang_song_gb2312"/>
          <w:kern w:val="0"/>
          <w:sz w:val="27"/>
          <w:szCs w:val="27"/>
        </w:rPr>
        <w:t>个项目开展了部门（单位）评价（此处即为重点评价内容），涉及一般公共预算支出</w:t>
      </w:r>
      <w:r>
        <w:rPr>
          <w:rFonts w:hint="eastAsia" w:ascii="times_new_roman" w:hAnsi="times_new_roman" w:cs="times_new_roman"/>
          <w:kern w:val="0"/>
          <w:sz w:val="27"/>
          <w:szCs w:val="27"/>
          <w:u w:val="single"/>
          <w:lang w:val="en-US" w:eastAsia="zh-CN"/>
        </w:rPr>
        <w:t>9</w:t>
      </w:r>
      <w:r>
        <w:rPr>
          <w:rFonts w:ascii="fang_song_gb2312" w:hAnsi="fang_song_gb2312" w:eastAsia="fang_song_gb2312" w:cs="fang_song_gb2312"/>
          <w:kern w:val="0"/>
          <w:sz w:val="27"/>
          <w:szCs w:val="27"/>
        </w:rPr>
        <w:t>万元，政府性基金支出</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w:t>
      </w:r>
      <w:r>
        <w:rPr>
          <w:rFonts w:hint="eastAsia" w:ascii="fang_song_gb2312" w:hAnsi="fang_song_gb2312" w:eastAsia="fang_song_gb2312" w:cs="fang_song_gb2312"/>
          <w:kern w:val="0"/>
          <w:sz w:val="27"/>
          <w:szCs w:val="27"/>
        </w:rPr>
        <w:t>从评价情况看，以上项目</w:t>
      </w:r>
      <w:r>
        <w:rPr>
          <w:rFonts w:hint="eastAsia" w:ascii="fang_song_gb2312" w:hAnsi="fang_song_gb2312" w:eastAsia="fang_song_gb2312" w:cs="fang_song_gb2312"/>
          <w:kern w:val="0"/>
          <w:sz w:val="27"/>
          <w:szCs w:val="27"/>
          <w:lang w:val="en-US" w:eastAsia="zh-CN"/>
        </w:rPr>
        <w:t>能够按照设定的绩效目标和我市退役军人服务工作总体要求引导和推进退役军人服务工作。退役军人服务对象满意度达到90%以上。</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（二）部门（单位）决算中项目绩效自评结果。</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内蒙古自治区巴彦淖尔市退役军人服务中心 </w:t>
      </w:r>
      <w:r>
        <w:rPr>
          <w:rFonts w:ascii="times_new_roman" w:hAnsi="times_new_roman" w:eastAsia="times_new_roman" w:cs="times_new_roman"/>
          <w:kern w:val="0"/>
          <w:sz w:val="27"/>
          <w:szCs w:val="27"/>
        </w:rPr>
        <w:t>202</w:t>
      </w:r>
      <w:r>
        <w:rPr>
          <w:rFonts w:hint="eastAsia" w:ascii="times_new_roman" w:hAnsi="times_new_roman" w:cs="times_new_roman"/>
          <w:kern w:val="0"/>
          <w:sz w:val="27"/>
          <w:szCs w:val="27"/>
          <w:lang w:val="en-US" w:eastAsia="zh-CN"/>
        </w:rPr>
        <w:t>4</w:t>
      </w:r>
      <w:r>
        <w:rPr>
          <w:rFonts w:ascii="fang_song_gb2312" w:hAnsi="fang_song_gb2312" w:eastAsia="fang_song_gb2312" w:cs="fang_song_gb2312"/>
          <w:kern w:val="0"/>
          <w:sz w:val="27"/>
          <w:szCs w:val="27"/>
        </w:rPr>
        <w:t>年度在决算中反映</w:t>
      </w:r>
      <w:r>
        <w:rPr>
          <w:rFonts w:hint="eastAsia" w:ascii="times_new_roman" w:hAnsi="times_new_roman" w:cs="times_new_roman"/>
          <w:kern w:val="0"/>
          <w:sz w:val="27"/>
          <w:szCs w:val="27"/>
          <w:u w:val="single"/>
          <w:lang w:val="en-US" w:eastAsia="zh-CN"/>
        </w:rPr>
        <w:t>1</w:t>
      </w:r>
      <w:r>
        <w:rPr>
          <w:rFonts w:ascii="fang_song_gb2312" w:hAnsi="fang_song_gb2312" w:eastAsia="fang_song_gb2312" w:cs="fang_song_gb2312"/>
          <w:kern w:val="0"/>
          <w:sz w:val="27"/>
          <w:szCs w:val="27"/>
        </w:rPr>
        <w:t>个一般公共预算项目，以及</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个政府性基金项目，共</w:t>
      </w:r>
      <w:r>
        <w:rPr>
          <w:rFonts w:hint="eastAsia" w:ascii="times_new_roman" w:hAnsi="times_new_roman" w:cs="times_new_roman"/>
          <w:kern w:val="0"/>
          <w:sz w:val="27"/>
          <w:szCs w:val="27"/>
          <w:u w:val="single"/>
          <w:lang w:val="en-US" w:eastAsia="zh-CN"/>
        </w:rPr>
        <w:t>1</w:t>
      </w:r>
      <w:r>
        <w:rPr>
          <w:rFonts w:ascii="fang_song_gb2312" w:hAnsi="fang_song_gb2312" w:eastAsia="fang_song_gb2312" w:cs="fang_song_gb2312"/>
          <w:kern w:val="0"/>
          <w:sz w:val="27"/>
          <w:szCs w:val="27"/>
        </w:rPr>
        <w:t>个项目的绩效自评结果。</w:t>
      </w:r>
    </w:p>
    <w:p>
      <w:pPr>
        <w:keepNext w:val="0"/>
        <w:keepLines w:val="0"/>
        <w:widowControl/>
        <w:numPr>
          <w:ilvl w:val="0"/>
          <w:numId w:val="1"/>
        </w:numPr>
        <w:suppressLineNumbers w:val="0"/>
        <w:ind w:firstLine="540" w:firstLineChars="200"/>
        <w:jc w:val="left"/>
        <w:rPr>
          <w:rFonts w:ascii="fang_song_gb2312" w:hAnsi="fang_song_gb2312" w:eastAsia="fang_song_gb2312" w:cs="fang_song_gb2312"/>
          <w:kern w:val="0"/>
          <w:sz w:val="27"/>
          <w:szCs w:val="27"/>
        </w:rPr>
      </w:pPr>
      <w:r>
        <w:rPr>
          <w:rFonts w:hint="eastAsia" w:ascii="times_new_roman" w:hAnsi="times_new_roman" w:cs="times_new_roman"/>
          <w:kern w:val="0"/>
          <w:sz w:val="27"/>
          <w:szCs w:val="27"/>
          <w:lang w:eastAsia="zh-CN"/>
        </w:rPr>
        <w:t>专项</w:t>
      </w:r>
      <w:r>
        <w:rPr>
          <w:rFonts w:ascii="fang_song_gb2312" w:hAnsi="fang_song_gb2312" w:eastAsia="fang_song_gb2312" w:cs="fang_song_gb2312"/>
          <w:kern w:val="0"/>
          <w:sz w:val="27"/>
          <w:szCs w:val="27"/>
        </w:rPr>
        <w:t>项目自评综述：</w:t>
      </w:r>
    </w:p>
    <w:p>
      <w:pPr>
        <w:keepNext w:val="0"/>
        <w:keepLines w:val="0"/>
        <w:widowControl/>
        <w:numPr>
          <w:ilvl w:val="0"/>
          <w:numId w:val="0"/>
        </w:numPr>
        <w:suppressLineNumbers w:val="0"/>
        <w:ind w:firstLine="540" w:firstLineChars="200"/>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根据年初设定的绩效目标，项目自评得分</w:t>
      </w:r>
      <w:r>
        <w:rPr>
          <w:rFonts w:hint="eastAsia" w:ascii="times_new_roman" w:hAnsi="times_new_roman" w:cs="times_new_roman"/>
          <w:kern w:val="0"/>
          <w:sz w:val="27"/>
          <w:szCs w:val="27"/>
          <w:u w:val="single"/>
          <w:lang w:val="en-US" w:eastAsia="zh-CN"/>
        </w:rPr>
        <w:t>9</w:t>
      </w:r>
      <w:r>
        <w:rPr>
          <w:rFonts w:hint="default" w:ascii="times_new_roman" w:hAnsi="times_new_roman" w:cs="times_new_roman"/>
          <w:kern w:val="0"/>
          <w:sz w:val="27"/>
          <w:szCs w:val="27"/>
          <w:u w:val="single"/>
          <w:lang w:eastAsia="zh-CN"/>
        </w:rPr>
        <w:t>4</w:t>
      </w:r>
      <w:r>
        <w:rPr>
          <w:rFonts w:ascii="fang_song_gb2312" w:hAnsi="fang_song_gb2312" w:eastAsia="fang_song_gb2312" w:cs="fang_song_gb2312"/>
          <w:kern w:val="0"/>
          <w:sz w:val="27"/>
          <w:szCs w:val="27"/>
        </w:rPr>
        <w:t>分。全年预算数为</w:t>
      </w:r>
      <w:r>
        <w:rPr>
          <w:rFonts w:hint="eastAsia" w:ascii="times_new_roman" w:hAnsi="times_new_roman" w:cs="times_new_roman"/>
          <w:kern w:val="0"/>
          <w:sz w:val="27"/>
          <w:szCs w:val="27"/>
          <w:u w:val="single"/>
          <w:lang w:val="en-US" w:eastAsia="zh-CN"/>
        </w:rPr>
        <w:t>9</w:t>
      </w:r>
      <w:r>
        <w:rPr>
          <w:rFonts w:ascii="fang_song_gb2312" w:hAnsi="fang_song_gb2312" w:eastAsia="fang_song_gb2312" w:cs="fang_song_gb2312"/>
          <w:kern w:val="0"/>
          <w:sz w:val="27"/>
          <w:szCs w:val="27"/>
        </w:rPr>
        <w:t>万元，执行数为</w:t>
      </w:r>
      <w:r>
        <w:rPr>
          <w:rFonts w:hint="eastAsia" w:ascii="times_new_roman" w:hAnsi="times_new_roman" w:cs="times_new_roman"/>
          <w:kern w:val="0"/>
          <w:sz w:val="27"/>
          <w:szCs w:val="27"/>
          <w:u w:val="single"/>
          <w:lang w:val="en-US" w:eastAsia="zh-CN"/>
        </w:rPr>
        <w:t>9</w:t>
      </w:r>
      <w:r>
        <w:rPr>
          <w:rFonts w:ascii="fang_song_gb2312" w:hAnsi="fang_song_gb2312" w:eastAsia="fang_song_gb2312" w:cs="fang_song_gb2312"/>
          <w:kern w:val="0"/>
          <w:sz w:val="27"/>
          <w:szCs w:val="27"/>
        </w:rPr>
        <w:t>万元，完成预算的</w:t>
      </w:r>
      <w:r>
        <w:rPr>
          <w:rFonts w:hint="eastAsia" w:ascii="times_new_roman" w:hAnsi="times_new_roman" w:cs="times_new_roman"/>
          <w:kern w:val="0"/>
          <w:sz w:val="27"/>
          <w:szCs w:val="27"/>
          <w:u w:val="single"/>
          <w:lang w:val="en-US" w:eastAsia="zh-CN"/>
        </w:rPr>
        <w:t>100</w:t>
      </w:r>
      <w:r>
        <w:rPr>
          <w:rFonts w:ascii="fang_song_gb2312" w:hAnsi="fang_song_gb2312" w:eastAsia="fang_song_gb2312" w:cs="fang_song_gb2312"/>
          <w:kern w:val="0"/>
          <w:sz w:val="27"/>
          <w:szCs w:val="27"/>
        </w:rPr>
        <w:t>%。项目绩效目标完成情况：</w:t>
      </w:r>
      <w:r>
        <w:rPr>
          <w:rFonts w:hint="default" w:ascii="fang_song_gb2312" w:hAnsi="fang_song_gb2312" w:eastAsia="fang_song_gb2312" w:cs="fang_song_gb2312"/>
          <w:kern w:val="0"/>
          <w:sz w:val="27"/>
          <w:szCs w:val="27"/>
        </w:rPr>
        <w:t>已按照年初预算目标开展了退役军人服务业务。该项目资金使用于退役军人思想政治、舆论宣传、总结表彰、荣誉奖励和信访工作；退役军人权益维护和帮扶援助工作；退役军人事务系统信息化建设工作；协调落实退役军人医疗、疗养、养老等社会保障工作。</w:t>
      </w:r>
    </w:p>
    <w:tbl>
      <w:tblPr>
        <w:tblStyle w:val="20"/>
        <w:tblW w:w="9585" w:type="dxa"/>
        <w:tblInd w:w="0" w:type="dxa"/>
        <w:tblLayout w:type="fixed"/>
        <w:tblCellMar>
          <w:top w:w="0" w:type="dxa"/>
          <w:left w:w="0" w:type="dxa"/>
          <w:bottom w:w="0" w:type="dxa"/>
          <w:right w:w="0" w:type="dxa"/>
        </w:tblCellMar>
      </w:tblPr>
      <w:tblGrid>
        <w:gridCol w:w="838"/>
        <w:gridCol w:w="838"/>
        <w:gridCol w:w="838"/>
        <w:gridCol w:w="775"/>
        <w:gridCol w:w="776"/>
        <w:gridCol w:w="776"/>
        <w:gridCol w:w="775"/>
        <w:gridCol w:w="776"/>
        <w:gridCol w:w="775"/>
        <w:gridCol w:w="775"/>
        <w:gridCol w:w="804"/>
        <w:gridCol w:w="839"/>
      </w:tblGrid>
      <w:tr>
        <w:tblPrEx>
          <w:tblLayout w:type="fixed"/>
          <w:tblCellMar>
            <w:top w:w="0" w:type="dxa"/>
            <w:left w:w="0" w:type="dxa"/>
            <w:bottom w:w="0" w:type="dxa"/>
            <w:right w:w="0" w:type="dxa"/>
          </w:tblCellMar>
        </w:tblPrEx>
        <w:trPr>
          <w:trHeight w:val="960" w:hRule="atLeast"/>
        </w:trPr>
        <w:tc>
          <w:tcPr>
            <w:tcW w:w="9585" w:type="dxa"/>
            <w:gridSpan w:val="1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(2024年度）</w:t>
            </w:r>
          </w:p>
        </w:tc>
      </w:tr>
      <w:tr>
        <w:tblPrEx>
          <w:tblLayout w:type="fixed"/>
          <w:tblCellMar>
            <w:top w:w="0" w:type="dxa"/>
            <w:left w:w="0" w:type="dxa"/>
            <w:bottom w:w="0" w:type="dxa"/>
            <w:right w:w="0" w:type="dxa"/>
          </w:tblCellMar>
        </w:tblPrEx>
        <w:trPr>
          <w:trHeight w:val="380" w:hRule="atLeast"/>
        </w:trPr>
        <w:tc>
          <w:tcPr>
            <w:tcW w:w="167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909"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专项业务费</w:t>
            </w:r>
          </w:p>
        </w:tc>
      </w:tr>
      <w:tr>
        <w:tblPrEx>
          <w:tblLayout w:type="fixed"/>
          <w:tblCellMar>
            <w:top w:w="0" w:type="dxa"/>
            <w:left w:w="0" w:type="dxa"/>
            <w:bottom w:w="0" w:type="dxa"/>
            <w:right w:w="0" w:type="dxa"/>
          </w:tblCellMar>
        </w:tblPrEx>
        <w:trPr>
          <w:trHeight w:val="380" w:hRule="atLeast"/>
        </w:trPr>
        <w:tc>
          <w:tcPr>
            <w:tcW w:w="167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165"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巴彦淖尔市退役军人事务局（部门）</w:t>
            </w:r>
          </w:p>
        </w:tc>
        <w:tc>
          <w:tcPr>
            <w:tcW w:w="155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193"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巴彦淖尔市退役军人服务中心</w:t>
            </w:r>
          </w:p>
        </w:tc>
      </w:tr>
      <w:tr>
        <w:tblPrEx>
          <w:tblLayout w:type="fixed"/>
          <w:tblCellMar>
            <w:top w:w="0" w:type="dxa"/>
            <w:left w:w="0" w:type="dxa"/>
            <w:bottom w:w="0" w:type="dxa"/>
            <w:right w:w="0" w:type="dxa"/>
          </w:tblCellMar>
        </w:tblPrEx>
        <w:trPr>
          <w:trHeight w:val="380" w:hRule="atLeast"/>
        </w:trPr>
        <w:tc>
          <w:tcPr>
            <w:tcW w:w="1676"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8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55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55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7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8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Layout w:type="fixed"/>
          <w:tblCellMar>
            <w:top w:w="0" w:type="dxa"/>
            <w:left w:w="0" w:type="dxa"/>
            <w:bottom w:w="0" w:type="dxa"/>
            <w:right w:w="0" w:type="dxa"/>
          </w:tblCellMar>
        </w:tblPrEx>
        <w:trPr>
          <w:trHeight w:val="380" w:hRule="atLeast"/>
        </w:trPr>
        <w:tc>
          <w:tcPr>
            <w:tcW w:w="1676"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55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55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7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Layout w:type="fixed"/>
          <w:tblCellMar>
            <w:top w:w="0" w:type="dxa"/>
            <w:left w:w="0" w:type="dxa"/>
            <w:bottom w:w="0" w:type="dxa"/>
            <w:right w:w="0" w:type="dxa"/>
          </w:tblCellMar>
        </w:tblPrEx>
        <w:trPr>
          <w:trHeight w:val="380" w:hRule="atLeast"/>
        </w:trPr>
        <w:tc>
          <w:tcPr>
            <w:tcW w:w="1676"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55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55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57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Layout w:type="fixed"/>
          <w:tblCellMar>
            <w:top w:w="0" w:type="dxa"/>
            <w:left w:w="0" w:type="dxa"/>
            <w:bottom w:w="0" w:type="dxa"/>
            <w:right w:w="0" w:type="dxa"/>
          </w:tblCellMar>
        </w:tblPrEx>
        <w:trPr>
          <w:trHeight w:val="380" w:hRule="atLeast"/>
        </w:trPr>
        <w:tc>
          <w:tcPr>
            <w:tcW w:w="1676"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55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57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Layout w:type="fixed"/>
          <w:tblCellMar>
            <w:top w:w="0" w:type="dxa"/>
            <w:left w:w="0" w:type="dxa"/>
            <w:bottom w:w="0" w:type="dxa"/>
            <w:right w:w="0" w:type="dxa"/>
          </w:tblCellMar>
        </w:tblPrEx>
        <w:trPr>
          <w:trHeight w:val="380" w:hRule="atLeast"/>
        </w:trPr>
        <w:tc>
          <w:tcPr>
            <w:tcW w:w="1676"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5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5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57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Layout w:type="fixed"/>
          <w:tblCellMar>
            <w:top w:w="0" w:type="dxa"/>
            <w:left w:w="0" w:type="dxa"/>
            <w:bottom w:w="0" w:type="dxa"/>
            <w:right w:w="0" w:type="dxa"/>
          </w:tblCellMar>
        </w:tblPrEx>
        <w:trPr>
          <w:trHeight w:val="380" w:hRule="atLeast"/>
        </w:trPr>
        <w:tc>
          <w:tcPr>
            <w:tcW w:w="1676"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3940"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969"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Layout w:type="fixed"/>
          <w:tblCellMar>
            <w:top w:w="0" w:type="dxa"/>
            <w:left w:w="0" w:type="dxa"/>
            <w:bottom w:w="0" w:type="dxa"/>
            <w:right w:w="0" w:type="dxa"/>
          </w:tblCellMar>
        </w:tblPrEx>
        <w:trPr>
          <w:trHeight w:val="1860" w:hRule="atLeast"/>
        </w:trPr>
        <w:tc>
          <w:tcPr>
            <w:tcW w:w="1676"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40"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目标1：退役军人事务工作正常开展机构正常运行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目标2：提高退役军人及其他优抚对象满意度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目标3：积极提供退役军人就业创业服务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目标4：推进退役军人信息系统建设相关工作</w:t>
            </w:r>
          </w:p>
        </w:tc>
        <w:tc>
          <w:tcPr>
            <w:tcW w:w="3969"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目标1：退役军人事务工作正常开展机构正常运行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目标2：提高退役军人及其他优抚对象满意度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目标3：积极提供退役军人就业创业服务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目标4：推进退役军人信息系统建设相关工作</w:t>
            </w:r>
          </w:p>
        </w:tc>
      </w:tr>
      <w:tr>
        <w:tblPrEx>
          <w:tblLayout w:type="fixed"/>
          <w:tblCellMar>
            <w:top w:w="0" w:type="dxa"/>
            <w:left w:w="0" w:type="dxa"/>
            <w:bottom w:w="0" w:type="dxa"/>
            <w:right w:w="0" w:type="dxa"/>
          </w:tblCellMar>
        </w:tblPrEx>
        <w:trPr>
          <w:trHeight w:val="1500" w:hRule="atLeast"/>
        </w:trPr>
        <w:tc>
          <w:tcPr>
            <w:tcW w:w="8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8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8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7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77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指标方向</w:t>
            </w: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77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7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8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Layout w:type="fixed"/>
          <w:tblCellMar>
            <w:top w:w="0" w:type="dxa"/>
            <w:left w:w="0" w:type="dxa"/>
            <w:bottom w:w="0" w:type="dxa"/>
            <w:right w:w="0" w:type="dxa"/>
          </w:tblCellMar>
        </w:tblPrEx>
        <w:trPr>
          <w:trHeight w:val="840" w:hRule="atLeast"/>
        </w:trPr>
        <w:tc>
          <w:tcPr>
            <w:tcW w:w="838"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838"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38"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财政供养人员</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大于等于</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13.00</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1260" w:hRule="atLeast"/>
        </w:trPr>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政府采购次数</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大于等于</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1020" w:hRule="atLeast"/>
        </w:trPr>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采购验收合格率</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大于等于</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94.00</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经费使用率</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大于等于</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84.00</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财政资金到位及时率</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各项支出支付及时率</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各项办公经费</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小于等于</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办公成本有效控制</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有效控制</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有效控制</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38"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保障好退役军人各项权益</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切实提高服务各类对象工作水平</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有所提升</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持续提升</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38" w:type="dxa"/>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8"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38"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退役军人服务对象满意度</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大于等于</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76"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98.00</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7167" w:type="dxa"/>
            <w:gridSpan w:val="9"/>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775"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0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94.00</w:t>
            </w:r>
          </w:p>
        </w:tc>
        <w:tc>
          <w:tcPr>
            <w:tcW w:w="83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（三）部门（单位）项目绩效评价结果。</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以</w:t>
      </w:r>
      <w:r>
        <w:rPr>
          <w:rFonts w:hint="eastAsia" w:ascii="fang_song_gb2312" w:hAnsi="fang_song_gb2312" w:cs="fang_song_gb2312"/>
          <w:kern w:val="0"/>
          <w:sz w:val="27"/>
          <w:szCs w:val="27"/>
          <w:lang w:eastAsia="zh-CN"/>
        </w:rPr>
        <w:t>专项</w:t>
      </w:r>
      <w:r>
        <w:rPr>
          <w:rFonts w:ascii="fang_song_gb2312" w:hAnsi="fang_song_gb2312" w:eastAsia="fang_song_gb2312" w:cs="fang_song_gb2312"/>
          <w:kern w:val="0"/>
          <w:sz w:val="27"/>
          <w:szCs w:val="27"/>
        </w:rPr>
        <w:t>项目为例，该项目绩效评价综合得分为</w:t>
      </w:r>
      <w:r>
        <w:rPr>
          <w:rFonts w:hint="eastAsia" w:ascii="times_new_roman" w:hAnsi="times_new_roman" w:cs="times_new_roman"/>
          <w:kern w:val="0"/>
          <w:sz w:val="27"/>
          <w:szCs w:val="27"/>
          <w:u w:val="single"/>
          <w:lang w:val="en-US" w:eastAsia="zh-CN"/>
        </w:rPr>
        <w:t>94</w:t>
      </w:r>
      <w:r>
        <w:rPr>
          <w:rFonts w:ascii="fang_song_gb2312" w:hAnsi="fang_song_gb2312" w:eastAsia="fang_song_gb2312" w:cs="fang_song_gb2312"/>
          <w:kern w:val="0"/>
          <w:sz w:val="27"/>
          <w:szCs w:val="27"/>
        </w:rPr>
        <w:t>分，绩效评价结果为“优”。</w:t>
      </w:r>
      <w:r>
        <w:rPr>
          <w:rFonts w:ascii="fang_song_gb2312" w:hAnsi="fang_song_gb2312" w:eastAsia="fang_song_gb2312" w:cs="fang_song_gb2312"/>
          <w:color w:val="0E00FE"/>
          <w:kern w:val="0"/>
          <w:sz w:val="27"/>
          <w:szCs w:val="27"/>
        </w:rPr>
        <w:t xml:space="preserve">    </w:t>
      </w:r>
    </w:p>
    <w:p>
      <w:pPr>
        <w:pStyle w:val="5"/>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第三部分  名词解释</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一、财政拨款收入：</w:t>
      </w:r>
      <w:r>
        <w:rPr>
          <w:rFonts w:ascii="fang_song_gb2312" w:hAnsi="fang_song_gb2312" w:eastAsia="fang_song_gb2312" w:cs="fang_song_gb2312"/>
          <w:kern w:val="0"/>
          <w:sz w:val="27"/>
          <w:szCs w:val="27"/>
        </w:rPr>
        <w:t>从同级财政部门取得的各类财政拨款，包括一般公共预算财政拨款、政府性基金预算财政拨款、国有资本经营预算财政拨款。</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二、上级补助收入：</w:t>
      </w:r>
      <w:r>
        <w:rPr>
          <w:rFonts w:ascii="fang_song_gb2312" w:hAnsi="fang_song_gb2312" w:eastAsia="fang_song_gb2312" w:cs="fang_song_gb2312"/>
          <w:kern w:val="0"/>
          <w:sz w:val="27"/>
          <w:szCs w:val="27"/>
        </w:rPr>
        <w:t>指事业单位从主管部门和上级单位取得的非财政补助收入。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三、财政专户管理教育收费：</w:t>
      </w:r>
      <w:r>
        <w:rPr>
          <w:rFonts w:ascii="fang_song_gb2312" w:hAnsi="fang_song_gb2312" w:eastAsia="fang_song_gb2312" w:cs="fang_song_gb2312"/>
          <w:kern w:val="0"/>
          <w:sz w:val="27"/>
          <w:szCs w:val="27"/>
        </w:rPr>
        <w:t>指缴入财政专户、实行专项管理的高中以上学费、住宿费、高校委托培养费、函大、电大、夜大及短训班培训费等教育收费。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四、事业收入：</w:t>
      </w:r>
      <w:r>
        <w:rPr>
          <w:rFonts w:ascii="fang_song_gb2312" w:hAnsi="fang_song_gb2312" w:eastAsia="fang_song_gb2312" w:cs="fang_song_gb2312"/>
          <w:kern w:val="0"/>
          <w:sz w:val="27"/>
          <w:szCs w:val="27"/>
        </w:rPr>
        <w:t>指事业单位开展专业业务活动及其辅助活动取得的收入。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五、经营收入：</w:t>
      </w:r>
      <w:r>
        <w:rPr>
          <w:rFonts w:ascii="fang_song_gb2312" w:hAnsi="fang_song_gb2312" w:eastAsia="fang_song_gb2312" w:cs="fang_song_gb2312"/>
          <w:kern w:val="0"/>
          <w:sz w:val="27"/>
          <w:szCs w:val="27"/>
        </w:rPr>
        <w:t>指事业单位在专业业务活动及其辅助活动之外开展非独立核算经营活动取得的收入。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六、附属单位上缴收入：</w:t>
      </w:r>
      <w:r>
        <w:rPr>
          <w:rFonts w:ascii="fang_song_gb2312" w:hAnsi="fang_song_gb2312" w:eastAsia="fang_song_gb2312" w:cs="fang_song_gb2312"/>
          <w:kern w:val="0"/>
          <w:sz w:val="27"/>
          <w:szCs w:val="27"/>
        </w:rPr>
        <w:t>指事业单位取得附属独立核算单位按照有关规定上缴的收入。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七、其他收入：</w:t>
      </w:r>
      <w:r>
        <w:rPr>
          <w:rFonts w:ascii="fang_song_gb2312" w:hAnsi="fang_song_gb2312" w:eastAsia="fang_song_gb2312" w:cs="fang_song_gb2312"/>
          <w:kern w:val="0"/>
          <w:sz w:val="27"/>
          <w:szCs w:val="27"/>
        </w:rPr>
        <w:t>取得的除上述“财政拨款收入”、“上级补助收入”、“事业收入”、“经营收入”、“附属单位上缴收入”等以外的各项收入。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八、使用非财政拨款结余和专用结余：</w:t>
      </w:r>
      <w:r>
        <w:rPr>
          <w:rFonts w:ascii="fang_song_gb2312" w:hAnsi="fang_song_gb2312" w:eastAsia="fang_song_gb2312" w:cs="fang_song_gb2312"/>
          <w:kern w:val="0"/>
          <w:sz w:val="27"/>
          <w:szCs w:val="27"/>
        </w:rPr>
        <w:t>指事业单位按照预算管理要求使用非财政拨款结余和专用结余弥补当年收支差额的数额。</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九、年初结转和结余：</w:t>
      </w:r>
      <w:r>
        <w:rPr>
          <w:rFonts w:ascii="fang_song_gb2312" w:hAnsi="fang_song_gb2312" w:eastAsia="fang_song_gb2312" w:cs="fang_song_gb2312"/>
          <w:kern w:val="0"/>
          <w:sz w:val="27"/>
          <w:szCs w:val="27"/>
        </w:rPr>
        <w:t>指单位上年结转本年使用的基本支出结转、项目支出结转和结余、经营结余。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十、结余分配：</w:t>
      </w:r>
      <w:r>
        <w:rPr>
          <w:rFonts w:ascii="fang_song_gb2312" w:hAnsi="fang_song_gb2312" w:eastAsia="fang_song_gb2312" w:cs="fang_song_gb2312"/>
          <w:kern w:val="0"/>
          <w:sz w:val="27"/>
          <w:szCs w:val="27"/>
        </w:rPr>
        <w:t>指事业单位按规定缴纳企业所得税以及从非财政拨款结余或经营结余中提取各类结余的情况。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十一、年末结转和结余资金：</w:t>
      </w:r>
      <w:r>
        <w:rPr>
          <w:rFonts w:ascii="fang_song_gb2312" w:hAnsi="fang_song_gb2312" w:eastAsia="fang_song_gb2312" w:cs="fang_song_gb2312"/>
          <w:kern w:val="0"/>
          <w:sz w:val="27"/>
          <w:szCs w:val="27"/>
        </w:rPr>
        <w:t>指单位结转下年的基本支出结转、项目支出结转和结余、经营结余。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十二、基本支出：</w:t>
      </w:r>
      <w:r>
        <w:rPr>
          <w:rFonts w:ascii="fang_song_gb2312" w:hAnsi="fang_song_gb2312" w:eastAsia="fang_song_gb2312" w:cs="fang_song_gb2312"/>
          <w:kern w:val="0"/>
          <w:sz w:val="27"/>
          <w:szCs w:val="27"/>
        </w:rPr>
        <w:t>指为保障机构正常运转、完成日常工作任务所发生的支出，包括人员经费和公用经费。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十三、项目支出：</w:t>
      </w:r>
      <w:r>
        <w:rPr>
          <w:rFonts w:ascii="fang_song_gb2312" w:hAnsi="fang_song_gb2312" w:eastAsia="fang_song_gb2312" w:cs="fang_song_gb2312"/>
          <w:kern w:val="0"/>
          <w:sz w:val="27"/>
          <w:szCs w:val="27"/>
        </w:rPr>
        <w:t>指在为完成特定的工作任务和事业发展目标所发生的支出。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十四、上缴上级支出：</w:t>
      </w:r>
      <w:r>
        <w:rPr>
          <w:rFonts w:ascii="fang_song_gb2312" w:hAnsi="fang_song_gb2312" w:eastAsia="fang_song_gb2312" w:cs="fang_song_gb2312"/>
          <w:kern w:val="0"/>
          <w:sz w:val="27"/>
          <w:szCs w:val="27"/>
        </w:rPr>
        <w:t>指事业单位按照财政部门和主管部门的规定上缴上级单位的支出。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十五、经营支出：</w:t>
      </w:r>
      <w:r>
        <w:rPr>
          <w:rFonts w:ascii="fang_song_gb2312" w:hAnsi="fang_song_gb2312" w:eastAsia="fang_song_gb2312" w:cs="fang_song_gb2312"/>
          <w:kern w:val="0"/>
          <w:sz w:val="27"/>
          <w:szCs w:val="27"/>
        </w:rPr>
        <w:t>指事业单位在专业业务活动及其辅助活动之外开展非独立核算经营活动发生的支出。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十六、对附属单位补助支出：</w:t>
      </w:r>
      <w:r>
        <w:rPr>
          <w:rFonts w:ascii="fang_song_gb2312" w:hAnsi="fang_song_gb2312" w:eastAsia="fang_song_gb2312" w:cs="fang_song_gb2312"/>
          <w:kern w:val="0"/>
          <w:sz w:val="27"/>
          <w:szCs w:val="27"/>
        </w:rPr>
        <w:t>指事业单位用财政拨款收入之外的收入对附属单位补助发生的支出。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十七、“三公”经费：</w:t>
      </w:r>
      <w:r>
        <w:rPr>
          <w:rFonts w:ascii="fang_song_gb2312" w:hAnsi="fang_song_gb2312" w:eastAsia="fang_song_gb2312" w:cs="fang_song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十八、机构运行经费：</w:t>
      </w:r>
      <w:r>
        <w:rPr>
          <w:rFonts w:ascii="fang_song_gb2312" w:hAnsi="fang_song_gb2312" w:eastAsia="fang_song_gb2312" w:cs="fang_song_gb2312"/>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pStyle w:val="5"/>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本单位决算公开信息反馈和联系方式：</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联系人：</w:t>
      </w:r>
      <w:r>
        <w:rPr>
          <w:rFonts w:ascii="fang_song_gb2312" w:hAnsi="fang_song_gb2312" w:eastAsia="fang_song_gb2312" w:cs="fang_song_gb2312"/>
          <w:kern w:val="0"/>
          <w:sz w:val="27"/>
          <w:szCs w:val="27"/>
          <w:u w:val="single"/>
        </w:rPr>
        <w:t xml:space="preserve">刘淑萍 </w:t>
      </w:r>
      <w:r>
        <w:rPr>
          <w:rFonts w:ascii="fang_song_gb2312" w:hAnsi="fang_song_gb2312" w:eastAsia="fang_song_gb2312" w:cs="fang_song_gb2312"/>
          <w:kern w:val="0"/>
          <w:sz w:val="27"/>
          <w:szCs w:val="27"/>
        </w:rPr>
        <w:t>          联系电话：0478-8942618</w:t>
      </w:r>
    </w:p>
    <w:p>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kern w:val="0"/>
          <w:sz w:val="36"/>
          <w:szCs w:val="36"/>
        </w:rPr>
        <w:t>第五部分 部门（单位）决算表</w:t>
      </w:r>
    </w:p>
    <w:p>
      <w:pPr>
        <w:widowControl/>
        <w:spacing w:before="240" w:after="240"/>
        <w:ind w:firstLine="540" w:firstLineChars="20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见附件。</w:t>
      </w:r>
    </w:p>
    <w:bookmarkEnd w:id="0"/>
    <w:p>
      <w:pPr>
        <w:adjustRightInd w:val="0"/>
        <w:snapToGrid w:val="0"/>
        <w:rPr>
          <w:rFonts w:ascii="宋体" w:hAnsi="宋体"/>
          <w:b/>
          <w:sz w:val="32"/>
          <w:szCs w:val="32"/>
        </w:rPr>
      </w:pPr>
    </w:p>
    <w:p>
      <w:pPr>
        <w:tabs>
          <w:tab w:val="left" w:pos="8415"/>
        </w:tabs>
      </w:pPr>
    </w:p>
    <w:sectPr>
      <w:footerReference r:id="rId4" w:type="default"/>
      <w:pgSz w:w="11906" w:h="16838"/>
      <w:pgMar w:top="1440" w:right="1083" w:bottom="1440" w:left="1083" w:header="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40001" w:csb1="00000000"/>
  </w:font>
  <w:font w:name="times_new_roman">
    <w:altName w:val="Segoe Print"/>
    <w:panose1 w:val="00000000000000000000"/>
    <w:charset w:val="00"/>
    <w:family w:val="auto"/>
    <w:pitch w:val="default"/>
    <w:sig w:usb0="00000000" w:usb1="00000000" w:usb2="00000000" w:usb3="00000000" w:csb0="00040001" w:csb1="00000000"/>
  </w:font>
  <w:font w:name="fang_zheng_xiao_biao_song_ti">
    <w:altName w:val="Segoe Print"/>
    <w:panose1 w:val="00000000000000000000"/>
    <w:charset w:val="00"/>
    <w:family w:val="auto"/>
    <w:pitch w:val="default"/>
    <w:sig w:usb0="00000000" w:usb1="00000000" w:usb2="00000000" w:usb3="00000000" w:csb0="00040001" w:csb1="00000000"/>
  </w:font>
  <w:font w:name="kai_ti_gb2312">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24</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A65422"/>
    <w:multiLevelType w:val="singleLevel"/>
    <w:tmpl w:val="5DA6542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1F3E05"/>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1ED31E6"/>
    <w:rsid w:val="033C64E6"/>
    <w:rsid w:val="040B5286"/>
    <w:rsid w:val="057F7B54"/>
    <w:rsid w:val="059600E2"/>
    <w:rsid w:val="06A7794A"/>
    <w:rsid w:val="06C962CC"/>
    <w:rsid w:val="0770789C"/>
    <w:rsid w:val="093B20B2"/>
    <w:rsid w:val="0B1536B4"/>
    <w:rsid w:val="0C672AEE"/>
    <w:rsid w:val="0CD45814"/>
    <w:rsid w:val="109E350D"/>
    <w:rsid w:val="10A27397"/>
    <w:rsid w:val="12F97108"/>
    <w:rsid w:val="141155F0"/>
    <w:rsid w:val="141911AF"/>
    <w:rsid w:val="153071FB"/>
    <w:rsid w:val="1712738B"/>
    <w:rsid w:val="18634CAA"/>
    <w:rsid w:val="1B0664AB"/>
    <w:rsid w:val="1CA00E82"/>
    <w:rsid w:val="20C827F9"/>
    <w:rsid w:val="20EF5F37"/>
    <w:rsid w:val="222E0796"/>
    <w:rsid w:val="22456B41"/>
    <w:rsid w:val="264E7383"/>
    <w:rsid w:val="27C93C5B"/>
    <w:rsid w:val="2A6B3D91"/>
    <w:rsid w:val="2AEB444F"/>
    <w:rsid w:val="2D797BC0"/>
    <w:rsid w:val="389302A3"/>
    <w:rsid w:val="3CB94EE3"/>
    <w:rsid w:val="3F5D7D76"/>
    <w:rsid w:val="3F8C1460"/>
    <w:rsid w:val="47800FDD"/>
    <w:rsid w:val="4C356BF9"/>
    <w:rsid w:val="4D536A7E"/>
    <w:rsid w:val="4D9618CC"/>
    <w:rsid w:val="4DAE2DFB"/>
    <w:rsid w:val="4F8B30FB"/>
    <w:rsid w:val="50E74BF9"/>
    <w:rsid w:val="51BF79C0"/>
    <w:rsid w:val="51FD247F"/>
    <w:rsid w:val="55C628FF"/>
    <w:rsid w:val="576645CF"/>
    <w:rsid w:val="5B434C67"/>
    <w:rsid w:val="5D1622EC"/>
    <w:rsid w:val="5ED86AB7"/>
    <w:rsid w:val="617617A1"/>
    <w:rsid w:val="63507FAD"/>
    <w:rsid w:val="63F60AD2"/>
    <w:rsid w:val="65844DCE"/>
    <w:rsid w:val="69FF196B"/>
    <w:rsid w:val="6AD96184"/>
    <w:rsid w:val="6C7A2148"/>
    <w:rsid w:val="6E8D2294"/>
    <w:rsid w:val="74DD0752"/>
    <w:rsid w:val="75FC4D15"/>
    <w:rsid w:val="76FB456D"/>
    <w:rsid w:val="78245BF8"/>
    <w:rsid w:val="785B79E4"/>
    <w:rsid w:val="7B9D661C"/>
    <w:rsid w:val="7C1C3562"/>
    <w:rsid w:val="7C383E67"/>
    <w:rsid w:val="7F1813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iPriority="0" w:semiHidden="0" w:name="Title"/>
    <w:lsdException w:uiPriority="0" w:name="Closing"/>
    <w:lsdException w:uiPriority="0" w:name="Signature"/>
    <w:lsdException w:qFormat="1" w:uiPriority="1" w:semiHidden="0" w:name="Default Paragraph Font"/>
    <w:lsdException w:uiPriority="0" w:name="Body Text"/>
    <w:lsdException w:qFormat="1"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24"/>
    <w:qFormat/>
    <w:uiPriority w:val="0"/>
    <w:pPr>
      <w:keepNext/>
      <w:keepLines/>
      <w:spacing w:before="260" w:after="260" w:line="416" w:lineRule="auto"/>
      <w:outlineLvl w:val="2"/>
    </w:pPr>
    <w:rPr>
      <w:b/>
      <w:bCs/>
      <w:sz w:val="32"/>
      <w:szCs w:val="32"/>
    </w:rPr>
  </w:style>
  <w:style w:type="paragraph" w:styleId="7">
    <w:name w:val="heading 4"/>
    <w:basedOn w:val="1"/>
    <w:next w:val="1"/>
    <w:link w:val="25"/>
    <w:qFormat/>
    <w:uiPriority w:val="0"/>
    <w:pPr>
      <w:keepNext/>
      <w:keepLines/>
      <w:spacing w:before="280" w:after="290" w:line="376" w:lineRule="auto"/>
      <w:outlineLvl w:val="3"/>
    </w:pPr>
    <w:rPr>
      <w:rFonts w:ascii="Cambria" w:hAnsi="Cambria"/>
      <w:b/>
      <w:bCs/>
      <w:sz w:val="28"/>
      <w:szCs w:val="28"/>
    </w:rPr>
  </w:style>
  <w:style w:type="character" w:default="1" w:styleId="21">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2">
    <w:name w:val="Title"/>
    <w:basedOn w:val="1"/>
    <w:next w:val="3"/>
    <w:unhideWhenUsed/>
    <w:qFormat/>
    <w:uiPriority w:val="0"/>
    <w:pPr>
      <w:jc w:val="center"/>
      <w:outlineLvl w:val="0"/>
    </w:pPr>
    <w:rPr>
      <w:rFonts w:hint="default" w:ascii="Cambria" w:hAnsi="Cambria" w:eastAsia="宋体"/>
      <w:sz w:val="32"/>
    </w:rPr>
  </w:style>
  <w:style w:type="paragraph" w:styleId="3">
    <w:name w:val="Body Text Indent"/>
    <w:basedOn w:val="1"/>
    <w:unhideWhenUsed/>
    <w:qFormat/>
    <w:uiPriority w:val="0"/>
    <w:pPr>
      <w:spacing w:after="120"/>
      <w:ind w:left="420" w:leftChars="200"/>
    </w:pPr>
    <w:rPr>
      <w:rFonts w:hint="default"/>
      <w:sz w:val="24"/>
    </w:rPr>
  </w:style>
  <w:style w:type="paragraph" w:styleId="8">
    <w:name w:val="toc 7"/>
    <w:basedOn w:val="1"/>
    <w:next w:val="1"/>
    <w:qFormat/>
    <w:uiPriority w:val="0"/>
    <w:pPr>
      <w:ind w:left="1260"/>
      <w:jc w:val="left"/>
    </w:pPr>
    <w:rPr>
      <w:sz w:val="20"/>
      <w:szCs w:val="20"/>
    </w:rPr>
  </w:style>
  <w:style w:type="paragraph" w:styleId="9">
    <w:name w:val="Document Map"/>
    <w:basedOn w:val="1"/>
    <w:qFormat/>
    <w:uiPriority w:val="0"/>
    <w:pPr>
      <w:shd w:val="clear" w:color="auto" w:fill="000080"/>
    </w:pPr>
  </w:style>
  <w:style w:type="paragraph" w:styleId="10">
    <w:name w:val="toc 5"/>
    <w:basedOn w:val="1"/>
    <w:next w:val="1"/>
    <w:qFormat/>
    <w:uiPriority w:val="0"/>
    <w:pPr>
      <w:ind w:left="840"/>
      <w:jc w:val="left"/>
    </w:pPr>
    <w:rPr>
      <w:sz w:val="20"/>
      <w:szCs w:val="20"/>
    </w:rPr>
  </w:style>
  <w:style w:type="paragraph" w:styleId="11">
    <w:name w:val="toc 3"/>
    <w:basedOn w:val="1"/>
    <w:next w:val="1"/>
    <w:qFormat/>
    <w:uiPriority w:val="0"/>
    <w:pPr>
      <w:adjustRightInd w:val="0"/>
      <w:snapToGrid w:val="0"/>
      <w:spacing w:line="360" w:lineRule="auto"/>
      <w:ind w:firstLine="400" w:firstLineChars="400"/>
      <w:jc w:val="left"/>
    </w:pPr>
    <w:rPr>
      <w:sz w:val="24"/>
      <w:szCs w:val="20"/>
    </w:rPr>
  </w:style>
  <w:style w:type="paragraph" w:styleId="12">
    <w:name w:val="toc 8"/>
    <w:basedOn w:val="1"/>
    <w:next w:val="1"/>
    <w:qFormat/>
    <w:uiPriority w:val="0"/>
    <w:pPr>
      <w:ind w:left="1470"/>
      <w:jc w:val="left"/>
    </w:pPr>
    <w:rPr>
      <w:sz w:val="20"/>
      <w:szCs w:val="20"/>
    </w:rPr>
  </w:style>
  <w:style w:type="paragraph" w:styleId="13">
    <w:name w:val="footer"/>
    <w:basedOn w:val="1"/>
    <w:link w:val="26"/>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adjustRightInd w:val="0"/>
      <w:snapToGrid w:val="0"/>
      <w:spacing w:line="360" w:lineRule="auto"/>
      <w:jc w:val="left"/>
    </w:pPr>
    <w:rPr>
      <w:b/>
      <w:bCs/>
      <w:sz w:val="24"/>
      <w:szCs w:val="20"/>
    </w:rPr>
  </w:style>
  <w:style w:type="paragraph" w:styleId="16">
    <w:name w:val="toc 4"/>
    <w:basedOn w:val="1"/>
    <w:next w:val="1"/>
    <w:qFormat/>
    <w:uiPriority w:val="0"/>
    <w:pPr>
      <w:ind w:left="630"/>
      <w:jc w:val="left"/>
    </w:pPr>
    <w:rPr>
      <w:sz w:val="20"/>
      <w:szCs w:val="20"/>
    </w:rPr>
  </w:style>
  <w:style w:type="paragraph" w:styleId="17">
    <w:name w:val="toc 6"/>
    <w:basedOn w:val="1"/>
    <w:next w:val="1"/>
    <w:qFormat/>
    <w:uiPriority w:val="0"/>
    <w:pPr>
      <w:ind w:left="1050"/>
      <w:jc w:val="left"/>
    </w:pPr>
    <w:rPr>
      <w:sz w:val="20"/>
      <w:szCs w:val="20"/>
    </w:rPr>
  </w:style>
  <w:style w:type="paragraph" w:styleId="18">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9">
    <w:name w:val="toc 9"/>
    <w:basedOn w:val="1"/>
    <w:next w:val="1"/>
    <w:qFormat/>
    <w:uiPriority w:val="0"/>
    <w:pPr>
      <w:ind w:left="1680"/>
      <w:jc w:val="left"/>
    </w:pPr>
    <w:rPr>
      <w:sz w:val="20"/>
      <w:szCs w:val="20"/>
    </w:rPr>
  </w:style>
  <w:style w:type="character" w:styleId="22">
    <w:name w:val="page number"/>
    <w:basedOn w:val="21"/>
    <w:qFormat/>
    <w:uiPriority w:val="0"/>
  </w:style>
  <w:style w:type="character" w:styleId="23">
    <w:name w:val="Hyperlink"/>
    <w:basedOn w:val="21"/>
    <w:qFormat/>
    <w:uiPriority w:val="0"/>
    <w:rPr>
      <w:color w:val="0000FF"/>
      <w:u w:val="single"/>
    </w:rPr>
  </w:style>
  <w:style w:type="character" w:customStyle="1" w:styleId="24">
    <w:name w:val="标题 3 字符"/>
    <w:basedOn w:val="21"/>
    <w:link w:val="6"/>
    <w:qFormat/>
    <w:uiPriority w:val="0"/>
    <w:rPr>
      <w:b/>
      <w:bCs/>
      <w:kern w:val="2"/>
      <w:sz w:val="32"/>
      <w:szCs w:val="32"/>
    </w:rPr>
  </w:style>
  <w:style w:type="character" w:customStyle="1" w:styleId="25">
    <w:name w:val="标题 4 字符"/>
    <w:basedOn w:val="21"/>
    <w:link w:val="7"/>
    <w:qFormat/>
    <w:uiPriority w:val="0"/>
    <w:rPr>
      <w:rFonts w:ascii="Cambria" w:hAnsi="Cambria"/>
      <w:b/>
      <w:bCs/>
      <w:kern w:val="2"/>
      <w:sz w:val="28"/>
      <w:szCs w:val="28"/>
    </w:rPr>
  </w:style>
  <w:style w:type="character" w:customStyle="1" w:styleId="26">
    <w:name w:val="页脚 字符"/>
    <w:basedOn w:val="21"/>
    <w:link w:val="13"/>
    <w:qFormat/>
    <w:uiPriority w:val="0"/>
    <w:rPr>
      <w:kern w:val="2"/>
      <w:sz w:val="18"/>
      <w:szCs w:val="18"/>
    </w:rPr>
  </w:style>
  <w:style w:type="character" w:customStyle="1" w:styleId="27">
    <w:name w:val="无间隔 字符"/>
    <w:link w:val="28"/>
    <w:qFormat/>
    <w:locked/>
    <w:uiPriority w:val="0"/>
    <w:rPr>
      <w:rFonts w:eastAsia="仿宋_GB2312"/>
      <w:sz w:val="30"/>
      <w:szCs w:val="22"/>
      <w:lang w:bidi="ar-SA"/>
    </w:rPr>
  </w:style>
  <w:style w:type="paragraph" w:styleId="28">
    <w:name w:val="No Spacing"/>
    <w:link w:val="27"/>
    <w:qFormat/>
    <w:uiPriority w:val="0"/>
    <w:pPr>
      <w:ind w:firstLine="200" w:firstLineChars="200"/>
    </w:pPr>
    <w:rPr>
      <w:rFonts w:ascii="Times New Roman" w:hAnsi="Times New Roman" w:eastAsia="仿宋_GB2312" w:cs="Times New Roman"/>
      <w:sz w:val="30"/>
      <w:szCs w:val="22"/>
      <w:lang w:val="en-US" w:eastAsia="zh-CN" w:bidi="ar-SA"/>
    </w:rPr>
  </w:style>
  <w:style w:type="paragraph" w:styleId="2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2270;&#34920;%20&#22312;%202023&#24180;&#20915;&#31639;&#20844;&#24320;.doc"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023&#24180;&#20915;&#31639;&#20844;&#24320;&#34920;\4-2023&#24180;&#24230;&#36130;&#25919;&#25320;&#27454;&#25910;&#20837;&#25903;&#20986;&#20915;&#31639;&#25209;&#22797;&#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Pt>
            <c:idx val="5"/>
            <c:bubble3D val="0"/>
            <c:spPr>
              <a:solidFill>
                <a:srgbClr val="F79646"/>
              </a:solidFill>
              <a:ln w="19050">
                <a:solidFill>
                  <a:srgbClr val="FFFFFF"/>
                </a:solidFill>
              </a:ln>
              <a:effectLst/>
            </c:spPr>
          </c:dPt>
          <c:dPt>
            <c:idx val="6"/>
            <c:bubble3D val="0"/>
            <c:spPr>
              <a:solidFill>
                <a:srgbClr val="2C4D75">
                  <a:lumMod val="60000"/>
                </a:srgbClr>
              </a:solidFill>
              <a:ln w="19050">
                <a:solidFill>
                  <a:srgbClr val="FFFFFF"/>
                </a:solidFill>
              </a:ln>
              <a:effectLst/>
            </c:spPr>
          </c:dPt>
          <c:dPt>
            <c:idx val="7"/>
            <c:bubble3D val="0"/>
            <c:spPr>
              <a:solidFill>
                <a:srgbClr val="772C2A">
                  <a:lumMod val="60000"/>
                </a:srgbClr>
              </a:solidFill>
              <a:ln w="19050">
                <a:solidFill>
                  <a:srgbClr val="FFFFFF"/>
                </a:solidFill>
              </a:ln>
              <a:effectLst/>
            </c:spPr>
          </c:dPt>
          <c:dLbls>
            <c:delete val="1"/>
          </c:dLbls>
          <c:cat>
            <c:strRef>
              <c:f>'[图表 在 2023年决算公开.doc]Sheet1'!$C$2:$J$2</c:f>
              <c:strCache>
                <c:ptCount val="8"/>
                <c:pt idx="0">
                  <c:v>一般公共预算财政拨款收入</c:v>
                </c:pt>
                <c:pt idx="1">
                  <c:v>政府性基金预算财政拨款收入</c:v>
                </c:pt>
                <c:pt idx="2">
                  <c:v>国有资本经营预算财政拨款收入</c:v>
                </c:pt>
                <c:pt idx="3">
                  <c:v>上级补助收入</c:v>
                </c:pt>
                <c:pt idx="4">
                  <c:v>事业收入</c:v>
                </c:pt>
                <c:pt idx="5">
                  <c:v>经营收入</c:v>
                </c:pt>
                <c:pt idx="6">
                  <c:v>附属单位上缴收入</c:v>
                </c:pt>
                <c:pt idx="7">
                  <c:v>其他收入</c:v>
                </c:pt>
              </c:strCache>
            </c:strRef>
          </c:cat>
          <c:val>
            <c:numRef>
              <c:f>'[图表 在 2023年决算公开.doc]Sheet1'!$C$3:$J$3</c:f>
              <c:numCache>
                <c:formatCode>General</c:formatCode>
                <c:ptCount val="8"/>
                <c:pt idx="0">
                  <c:v>205</c:v>
                </c:pt>
                <c:pt idx="1">
                  <c:v>0</c:v>
                </c:pt>
                <c:pt idx="2">
                  <c:v>0</c:v>
                </c:pt>
                <c:pt idx="3">
                  <c:v>0</c:v>
                </c:pt>
                <c:pt idx="4">
                  <c:v>0</c:v>
                </c:pt>
                <c:pt idx="5">
                  <c:v>0</c:v>
                </c:pt>
                <c:pt idx="6">
                  <c:v>0</c:v>
                </c:pt>
                <c:pt idx="7">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elete val="1"/>
          </c:dLbls>
          <c:cat>
            <c:strRef>
              <c:f>'[4-2023年度财政拨款收入支出决算批复表.xlsx]Sheet2'!$B$2:$F$2</c:f>
              <c:strCache>
                <c:ptCount val="5"/>
                <c:pt idx="0">
                  <c:v>基本支出</c:v>
                </c:pt>
                <c:pt idx="1">
                  <c:v>项目支出</c:v>
                </c:pt>
                <c:pt idx="2">
                  <c:v>上缴上级支出</c:v>
                </c:pt>
                <c:pt idx="3">
                  <c:v>经营支出</c:v>
                </c:pt>
                <c:pt idx="4">
                  <c:v>对附属单位补助支出</c:v>
                </c:pt>
              </c:strCache>
            </c:strRef>
          </c:cat>
          <c:val>
            <c:numRef>
              <c:f>'[4-2023年度财政拨款收入支出决算批复表.xlsx]Sheet2'!$B$3:$F$3</c:f>
              <c:numCache>
                <c:formatCode>General</c:formatCode>
                <c:ptCount val="5"/>
                <c:pt idx="0">
                  <c:v>195.45</c:v>
                </c:pt>
                <c:pt idx="1">
                  <c:v>9.55</c:v>
                </c:pt>
                <c:pt idx="2">
                  <c:v>0</c:v>
                </c:pt>
                <c:pt idx="3">
                  <c:v>0</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7871</Words>
  <Characters>8335</Characters>
  <Lines>1</Lines>
  <Paragraphs>1</Paragraphs>
  <TotalTime>70</TotalTime>
  <ScaleCrop>false</ScaleCrop>
  <LinksUpToDate>false</LinksUpToDate>
  <CharactersWithSpaces>8945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Administrator</cp:lastModifiedBy>
  <cp:lastPrinted>2021-04-16T00:45:00Z</cp:lastPrinted>
  <dcterms:modified xsi:type="dcterms:W3CDTF">2025-09-18T03:43:06Z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KSOTemplateDocerSaveRecord">
    <vt:lpwstr>eyJoZGlkIjoiNzEzYjcxMzFjNmIwMmNlMTZiZTFmMjhkZTFiNzBmN2YiLCJ1c2VySWQiOiIyNzAxMzMzMjAifQ==</vt:lpwstr>
  </property>
  <property fmtid="{D5CDD505-2E9C-101B-9397-08002B2CF9AE}" pid="4" name="ICV">
    <vt:lpwstr>AF262C17570A4DFCA275BFAABB39AA30_13</vt:lpwstr>
  </property>
</Properties>
</file>